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rPr>
          <w:rFonts w:cs="宋体" w:asciiTheme="minorEastAsia" w:hAnsiTheme="minorEastAsia"/>
          <w:b/>
          <w:color w:val="auto"/>
          <w:kern w:val="0"/>
          <w:sz w:val="28"/>
          <w:szCs w:val="28"/>
        </w:rPr>
      </w:pPr>
    </w:p>
    <w:p>
      <w:pPr>
        <w:widowControl/>
        <w:shd w:val="clear" w:color="auto" w:fill="FFFFFF"/>
        <w:spacing w:line="540" w:lineRule="atLeast"/>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城乡居民医疗保险待遇简明表</w:t>
      </w:r>
    </w:p>
    <w:p>
      <w:pPr>
        <w:widowControl/>
        <w:shd w:val="clear" w:color="auto" w:fill="FFFFFF"/>
        <w:jc w:val="center"/>
        <w:rPr>
          <w:rFonts w:cs="宋体" w:asciiTheme="minorEastAsia" w:hAnsiTheme="minorEastAsia"/>
          <w:color w:val="auto"/>
          <w:kern w:val="0"/>
          <w:szCs w:val="21"/>
        </w:rPr>
      </w:pPr>
      <w:r>
        <w:rPr>
          <w:rFonts w:hint="eastAsia" w:cs="宋体" w:asciiTheme="minorEastAsia" w:hAnsiTheme="minorEastAsia"/>
          <w:color w:val="auto"/>
          <w:kern w:val="0"/>
          <w:szCs w:val="21"/>
        </w:rPr>
        <w:t>2021年7月—2022年6月</w:t>
      </w:r>
    </w:p>
    <w:tbl>
      <w:tblPr>
        <w:tblStyle w:val="7"/>
        <w:tblW w:w="457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89"/>
        <w:gridCol w:w="422"/>
        <w:gridCol w:w="1421"/>
        <w:gridCol w:w="1940"/>
        <w:gridCol w:w="2002"/>
        <w:gridCol w:w="1844"/>
        <w:gridCol w:w="17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2134" w:type="pct"/>
            <w:gridSpan w:val="4"/>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项</w:t>
            </w:r>
            <w:r>
              <w:rPr>
                <w:rFonts w:cs="宋体" w:asciiTheme="minorEastAsia" w:hAnsiTheme="minorEastAsia"/>
                <w:color w:val="auto"/>
                <w:kern w:val="0"/>
                <w:sz w:val="24"/>
                <w:szCs w:val="24"/>
              </w:rPr>
              <w:t>       </w:t>
            </w:r>
            <w:r>
              <w:rPr>
                <w:rFonts w:hint="eastAsia" w:cs="宋体" w:asciiTheme="minorEastAsia" w:hAnsiTheme="minorEastAsia"/>
                <w:color w:val="auto"/>
                <w:kern w:val="0"/>
                <w:sz w:val="24"/>
                <w:szCs w:val="24"/>
              </w:rPr>
              <w:t>目</w:t>
            </w:r>
          </w:p>
        </w:tc>
        <w:tc>
          <w:tcPr>
            <w:tcW w:w="1024"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三级医院</w:t>
            </w:r>
          </w:p>
        </w:tc>
        <w:tc>
          <w:tcPr>
            <w:tcW w:w="943"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二级医院</w:t>
            </w:r>
          </w:p>
        </w:tc>
        <w:tc>
          <w:tcPr>
            <w:tcW w:w="899"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一级医院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3" w:hRule="atLeast"/>
          <w:jc w:val="center"/>
        </w:trPr>
        <w:tc>
          <w:tcPr>
            <w:tcW w:w="199" w:type="pct"/>
            <w:vMerge w:val="restart"/>
            <w:tcMar>
              <w:top w:w="0" w:type="dxa"/>
              <w:left w:w="108" w:type="dxa"/>
              <w:bottom w:w="0" w:type="dxa"/>
              <w:right w:w="108" w:type="dxa"/>
            </w:tcMar>
            <w:vAlign w:val="center"/>
          </w:tcPr>
          <w:p>
            <w:pPr>
              <w:widowControl/>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基本</w:t>
            </w:r>
          </w:p>
          <w:p>
            <w:pPr>
              <w:widowControl/>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医疗保险</w:t>
            </w:r>
          </w:p>
        </w:tc>
        <w:tc>
          <w:tcPr>
            <w:tcW w:w="216" w:type="pct"/>
            <w:vMerge w:val="restart"/>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门</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诊</w:t>
            </w:r>
          </w:p>
        </w:tc>
        <w:tc>
          <w:tcPr>
            <w:tcW w:w="1719"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起付标准（个人自付）</w:t>
            </w:r>
          </w:p>
        </w:tc>
        <w:tc>
          <w:tcPr>
            <w:tcW w:w="2866" w:type="pct"/>
            <w:gridSpan w:val="3"/>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0" w:hRule="atLeast"/>
          <w:jc w:val="center"/>
        </w:trPr>
        <w:tc>
          <w:tcPr>
            <w:tcW w:w="199" w:type="pct"/>
            <w:vMerge w:val="continue"/>
            <w:vAlign w:val="center"/>
          </w:tcPr>
          <w:p>
            <w:pPr>
              <w:widowControl/>
              <w:jc w:val="left"/>
              <w:rPr>
                <w:rFonts w:cs="宋体" w:asciiTheme="minorEastAsia" w:hAnsiTheme="minorEastAsia"/>
                <w:color w:val="auto"/>
                <w:kern w:val="0"/>
                <w:sz w:val="24"/>
                <w:szCs w:val="24"/>
              </w:rPr>
            </w:pPr>
          </w:p>
        </w:tc>
        <w:tc>
          <w:tcPr>
            <w:tcW w:w="216" w:type="pct"/>
            <w:vMerge w:val="continue"/>
            <w:vAlign w:val="center"/>
          </w:tcPr>
          <w:p>
            <w:pPr>
              <w:widowControl/>
              <w:jc w:val="left"/>
              <w:rPr>
                <w:rFonts w:cs="宋体" w:asciiTheme="minorEastAsia" w:hAnsiTheme="minorEastAsia"/>
                <w:color w:val="auto"/>
                <w:kern w:val="0"/>
                <w:sz w:val="24"/>
                <w:szCs w:val="24"/>
              </w:rPr>
            </w:pPr>
          </w:p>
        </w:tc>
        <w:tc>
          <w:tcPr>
            <w:tcW w:w="1719"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起付标准以上～</w:t>
            </w:r>
            <w:r>
              <w:rPr>
                <w:rFonts w:cs="宋体" w:asciiTheme="minorEastAsia" w:hAnsiTheme="minorEastAsia"/>
                <w:color w:val="auto"/>
                <w:kern w:val="0"/>
                <w:sz w:val="24"/>
                <w:szCs w:val="24"/>
              </w:rPr>
              <w:t>10000</w:t>
            </w:r>
            <w:r>
              <w:rPr>
                <w:rFonts w:hint="eastAsia" w:cs="宋体" w:asciiTheme="minorEastAsia" w:hAnsiTheme="minorEastAsia"/>
                <w:color w:val="auto"/>
                <w:kern w:val="0"/>
                <w:sz w:val="24"/>
                <w:szCs w:val="24"/>
              </w:rPr>
              <w:t>元以下</w:t>
            </w:r>
          </w:p>
        </w:tc>
        <w:tc>
          <w:tcPr>
            <w:tcW w:w="1024"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w:t>
            </w:r>
            <w:r>
              <w:rPr>
                <w:rFonts w:cs="宋体" w:asciiTheme="minorEastAsia" w:hAnsiTheme="minorEastAsia"/>
                <w:color w:val="auto"/>
                <w:kern w:val="0"/>
                <w:sz w:val="24"/>
                <w:szCs w:val="24"/>
              </w:rPr>
              <w:t>%</w:t>
            </w:r>
          </w:p>
        </w:tc>
        <w:tc>
          <w:tcPr>
            <w:tcW w:w="943"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55</w:t>
            </w:r>
            <w:r>
              <w:rPr>
                <w:rFonts w:cs="宋体" w:asciiTheme="minorEastAsia" w:hAnsiTheme="minorEastAsia"/>
                <w:color w:val="auto"/>
                <w:kern w:val="0"/>
                <w:sz w:val="24"/>
                <w:szCs w:val="24"/>
              </w:rPr>
              <w:t>%</w:t>
            </w:r>
          </w:p>
        </w:tc>
        <w:tc>
          <w:tcPr>
            <w:tcW w:w="899"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65</w:t>
            </w:r>
            <w:r>
              <w:rPr>
                <w:rFonts w:cs="宋体" w:asciiTheme="minorEastAsia" w:hAnsiTheme="minorEastAsia"/>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2" w:hRule="atLeast"/>
          <w:jc w:val="center"/>
        </w:trPr>
        <w:tc>
          <w:tcPr>
            <w:tcW w:w="199" w:type="pct"/>
            <w:vMerge w:val="continue"/>
            <w:vAlign w:val="center"/>
          </w:tcPr>
          <w:p>
            <w:pPr>
              <w:widowControl/>
              <w:jc w:val="left"/>
              <w:rPr>
                <w:rFonts w:cs="宋体" w:asciiTheme="minorEastAsia" w:hAnsiTheme="minorEastAsia"/>
                <w:color w:val="auto"/>
                <w:kern w:val="0"/>
                <w:sz w:val="24"/>
                <w:szCs w:val="24"/>
              </w:rPr>
            </w:pPr>
          </w:p>
        </w:tc>
        <w:tc>
          <w:tcPr>
            <w:tcW w:w="216" w:type="pct"/>
            <w:vMerge w:val="continue"/>
            <w:vAlign w:val="center"/>
          </w:tcPr>
          <w:p>
            <w:pPr>
              <w:widowControl/>
              <w:jc w:val="left"/>
              <w:rPr>
                <w:rFonts w:cs="宋体" w:asciiTheme="minorEastAsia" w:hAnsiTheme="minorEastAsia"/>
                <w:color w:val="auto"/>
                <w:kern w:val="0"/>
                <w:sz w:val="24"/>
                <w:szCs w:val="24"/>
              </w:rPr>
            </w:pPr>
          </w:p>
        </w:tc>
        <w:tc>
          <w:tcPr>
            <w:tcW w:w="1719"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10000</w:t>
            </w:r>
            <w:r>
              <w:rPr>
                <w:rFonts w:hint="eastAsia" w:cs="宋体" w:asciiTheme="minorEastAsia" w:hAnsiTheme="minorEastAsia"/>
                <w:color w:val="auto"/>
                <w:kern w:val="0"/>
                <w:sz w:val="24"/>
                <w:szCs w:val="24"/>
              </w:rPr>
              <w:t>元</w:t>
            </w:r>
          </w:p>
        </w:tc>
        <w:tc>
          <w:tcPr>
            <w:tcW w:w="1024"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65</w:t>
            </w:r>
            <w:r>
              <w:rPr>
                <w:rFonts w:cs="宋体" w:asciiTheme="minorEastAsia" w:hAnsiTheme="minorEastAsia"/>
                <w:color w:val="auto"/>
                <w:kern w:val="0"/>
                <w:sz w:val="24"/>
                <w:szCs w:val="24"/>
              </w:rPr>
              <w:t>%</w:t>
            </w:r>
          </w:p>
        </w:tc>
        <w:tc>
          <w:tcPr>
            <w:tcW w:w="943"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75</w:t>
            </w:r>
            <w:r>
              <w:rPr>
                <w:rFonts w:cs="宋体" w:asciiTheme="minorEastAsia" w:hAnsiTheme="minorEastAsia"/>
                <w:color w:val="auto"/>
                <w:kern w:val="0"/>
                <w:sz w:val="24"/>
                <w:szCs w:val="24"/>
              </w:rPr>
              <w:t>%</w:t>
            </w:r>
          </w:p>
        </w:tc>
        <w:tc>
          <w:tcPr>
            <w:tcW w:w="899"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85</w:t>
            </w:r>
            <w:r>
              <w:rPr>
                <w:rFonts w:cs="宋体" w:asciiTheme="minorEastAsia" w:hAnsiTheme="minorEastAsia"/>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7" w:hRule="atLeast"/>
          <w:jc w:val="center"/>
        </w:trPr>
        <w:tc>
          <w:tcPr>
            <w:tcW w:w="199" w:type="pct"/>
            <w:vMerge w:val="continue"/>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p>
        </w:tc>
        <w:tc>
          <w:tcPr>
            <w:tcW w:w="216" w:type="pct"/>
            <w:vMerge w:val="restart"/>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住</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院</w:t>
            </w:r>
          </w:p>
        </w:tc>
        <w:tc>
          <w:tcPr>
            <w:tcW w:w="727" w:type="pct"/>
            <w:vMerge w:val="restart"/>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起付标准</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(个人自付)</w:t>
            </w:r>
          </w:p>
        </w:tc>
        <w:tc>
          <w:tcPr>
            <w:tcW w:w="992"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首次住院</w:t>
            </w:r>
          </w:p>
        </w:tc>
        <w:tc>
          <w:tcPr>
            <w:tcW w:w="1024"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1000</w:t>
            </w:r>
            <w:r>
              <w:rPr>
                <w:rFonts w:hint="eastAsia" w:cs="宋体" w:asciiTheme="minorEastAsia" w:hAnsiTheme="minorEastAsia"/>
                <w:color w:val="auto"/>
                <w:kern w:val="0"/>
                <w:sz w:val="24"/>
                <w:szCs w:val="24"/>
              </w:rPr>
              <w:t>元</w:t>
            </w:r>
          </w:p>
        </w:tc>
        <w:tc>
          <w:tcPr>
            <w:tcW w:w="943"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600</w:t>
            </w:r>
            <w:r>
              <w:rPr>
                <w:rFonts w:hint="eastAsia" w:cs="宋体" w:asciiTheme="minorEastAsia" w:hAnsiTheme="minorEastAsia"/>
                <w:color w:val="auto"/>
                <w:kern w:val="0"/>
                <w:sz w:val="24"/>
                <w:szCs w:val="24"/>
              </w:rPr>
              <w:t>元</w:t>
            </w:r>
          </w:p>
        </w:tc>
        <w:tc>
          <w:tcPr>
            <w:tcW w:w="899"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200</w:t>
            </w:r>
            <w:r>
              <w:rPr>
                <w:rFonts w:hint="eastAsia" w:cs="宋体" w:asciiTheme="minorEastAsia" w:hAnsiTheme="minorEastAsia"/>
                <w:color w:val="auto"/>
                <w:kern w:val="0"/>
                <w:sz w:val="24"/>
                <w:szCs w:val="24"/>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9" w:hRule="atLeast"/>
          <w:jc w:val="center"/>
        </w:trPr>
        <w:tc>
          <w:tcPr>
            <w:tcW w:w="199" w:type="pct"/>
            <w:vMerge w:val="continue"/>
            <w:vAlign w:val="center"/>
          </w:tcPr>
          <w:p>
            <w:pPr>
              <w:widowControl/>
              <w:jc w:val="left"/>
              <w:rPr>
                <w:rFonts w:cs="宋体" w:asciiTheme="minorEastAsia" w:hAnsiTheme="minorEastAsia"/>
                <w:color w:val="auto"/>
                <w:kern w:val="0"/>
                <w:sz w:val="24"/>
                <w:szCs w:val="24"/>
              </w:rPr>
            </w:pPr>
          </w:p>
        </w:tc>
        <w:tc>
          <w:tcPr>
            <w:tcW w:w="216" w:type="pct"/>
            <w:vMerge w:val="continue"/>
            <w:vAlign w:val="center"/>
          </w:tcPr>
          <w:p>
            <w:pPr>
              <w:widowControl/>
              <w:jc w:val="left"/>
              <w:rPr>
                <w:rFonts w:cs="宋体" w:asciiTheme="minorEastAsia" w:hAnsiTheme="minorEastAsia"/>
                <w:color w:val="auto"/>
                <w:kern w:val="0"/>
                <w:sz w:val="24"/>
                <w:szCs w:val="24"/>
              </w:rPr>
            </w:pPr>
          </w:p>
        </w:tc>
        <w:tc>
          <w:tcPr>
            <w:tcW w:w="727" w:type="pct"/>
            <w:vMerge w:val="continue"/>
            <w:vAlign w:val="center"/>
          </w:tcPr>
          <w:p>
            <w:pPr>
              <w:widowControl/>
              <w:jc w:val="left"/>
              <w:rPr>
                <w:rFonts w:cs="宋体" w:asciiTheme="minorEastAsia" w:hAnsiTheme="minorEastAsia"/>
                <w:color w:val="auto"/>
                <w:kern w:val="0"/>
                <w:sz w:val="24"/>
                <w:szCs w:val="24"/>
              </w:rPr>
            </w:pPr>
          </w:p>
        </w:tc>
        <w:tc>
          <w:tcPr>
            <w:tcW w:w="992"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二次及以上住院</w:t>
            </w:r>
          </w:p>
        </w:tc>
        <w:tc>
          <w:tcPr>
            <w:tcW w:w="1024"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500</w:t>
            </w:r>
            <w:r>
              <w:rPr>
                <w:rFonts w:hint="eastAsia" w:cs="宋体" w:asciiTheme="minorEastAsia" w:hAnsiTheme="minorEastAsia"/>
                <w:color w:val="auto"/>
                <w:kern w:val="0"/>
                <w:sz w:val="24"/>
                <w:szCs w:val="24"/>
              </w:rPr>
              <w:t>元</w:t>
            </w:r>
          </w:p>
        </w:tc>
        <w:tc>
          <w:tcPr>
            <w:tcW w:w="943"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300</w:t>
            </w:r>
            <w:r>
              <w:rPr>
                <w:rFonts w:hint="eastAsia" w:cs="宋体" w:asciiTheme="minorEastAsia" w:hAnsiTheme="minorEastAsia"/>
                <w:color w:val="auto"/>
                <w:kern w:val="0"/>
                <w:sz w:val="24"/>
                <w:szCs w:val="24"/>
              </w:rPr>
              <w:t>元</w:t>
            </w:r>
          </w:p>
        </w:tc>
        <w:tc>
          <w:tcPr>
            <w:tcW w:w="899"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100</w:t>
            </w:r>
            <w:r>
              <w:rPr>
                <w:rFonts w:hint="eastAsia" w:cs="宋体" w:asciiTheme="minorEastAsia" w:hAnsiTheme="minorEastAsia"/>
                <w:color w:val="auto"/>
                <w:kern w:val="0"/>
                <w:sz w:val="24"/>
                <w:szCs w:val="24"/>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199" w:type="pct"/>
            <w:vMerge w:val="continue"/>
            <w:vAlign w:val="center"/>
          </w:tcPr>
          <w:p>
            <w:pPr>
              <w:widowControl/>
              <w:jc w:val="left"/>
              <w:rPr>
                <w:rFonts w:cs="宋体" w:asciiTheme="minorEastAsia" w:hAnsiTheme="minorEastAsia"/>
                <w:color w:val="auto"/>
                <w:kern w:val="0"/>
                <w:sz w:val="24"/>
                <w:szCs w:val="24"/>
              </w:rPr>
            </w:pPr>
          </w:p>
        </w:tc>
        <w:tc>
          <w:tcPr>
            <w:tcW w:w="216" w:type="pct"/>
            <w:vMerge w:val="continue"/>
            <w:vAlign w:val="center"/>
          </w:tcPr>
          <w:p>
            <w:pPr>
              <w:widowControl/>
              <w:jc w:val="left"/>
              <w:rPr>
                <w:rFonts w:cs="宋体" w:asciiTheme="minorEastAsia" w:hAnsiTheme="minorEastAsia"/>
                <w:color w:val="auto"/>
                <w:kern w:val="0"/>
                <w:sz w:val="24"/>
                <w:szCs w:val="24"/>
              </w:rPr>
            </w:pPr>
          </w:p>
        </w:tc>
        <w:tc>
          <w:tcPr>
            <w:tcW w:w="1719"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起付标准以上</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～最高支付限额以下</w:t>
            </w:r>
          </w:p>
        </w:tc>
        <w:tc>
          <w:tcPr>
            <w:tcW w:w="1024"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73</w:t>
            </w:r>
            <w:r>
              <w:rPr>
                <w:rFonts w:cs="宋体" w:asciiTheme="minorEastAsia" w:hAnsiTheme="minorEastAsia"/>
                <w:color w:val="auto"/>
                <w:kern w:val="0"/>
                <w:sz w:val="24"/>
                <w:szCs w:val="24"/>
              </w:rPr>
              <w:t>%</w:t>
            </w:r>
          </w:p>
        </w:tc>
        <w:tc>
          <w:tcPr>
            <w:tcW w:w="943"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80</w:t>
            </w:r>
            <w:r>
              <w:rPr>
                <w:rFonts w:cs="宋体" w:asciiTheme="minorEastAsia" w:hAnsiTheme="minorEastAsia"/>
                <w:color w:val="auto"/>
                <w:kern w:val="0"/>
                <w:sz w:val="24"/>
                <w:szCs w:val="24"/>
              </w:rPr>
              <w:t>%</w:t>
            </w:r>
          </w:p>
        </w:tc>
        <w:tc>
          <w:tcPr>
            <w:tcW w:w="899"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90</w:t>
            </w:r>
            <w:r>
              <w:rPr>
                <w:rFonts w:cs="宋体" w:asciiTheme="minorEastAsia" w:hAnsiTheme="minorEastAsia"/>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9" w:hRule="atLeast"/>
          <w:jc w:val="center"/>
        </w:trPr>
        <w:tc>
          <w:tcPr>
            <w:tcW w:w="199" w:type="pct"/>
            <w:vMerge w:val="continue"/>
            <w:vAlign w:val="center"/>
          </w:tcPr>
          <w:p>
            <w:pPr>
              <w:widowControl/>
              <w:jc w:val="left"/>
              <w:rPr>
                <w:rFonts w:cs="宋体" w:asciiTheme="minorEastAsia" w:hAnsiTheme="minorEastAsia"/>
                <w:color w:val="auto"/>
                <w:kern w:val="0"/>
                <w:sz w:val="24"/>
                <w:szCs w:val="24"/>
              </w:rPr>
            </w:pPr>
          </w:p>
        </w:tc>
        <w:tc>
          <w:tcPr>
            <w:tcW w:w="1935" w:type="pct"/>
            <w:gridSpan w:val="3"/>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最高支付限额</w:t>
            </w:r>
          </w:p>
        </w:tc>
        <w:tc>
          <w:tcPr>
            <w:tcW w:w="2866" w:type="pct"/>
            <w:gridSpan w:val="3"/>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门诊和住院合计10万元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415" w:type="pct"/>
            <w:gridSpan w:val="2"/>
            <w:vMerge w:val="restart"/>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大</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病</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医</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疗</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保</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险</w:t>
            </w:r>
          </w:p>
        </w:tc>
        <w:tc>
          <w:tcPr>
            <w:tcW w:w="1719"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起付标准（个人自付）</w:t>
            </w:r>
          </w:p>
        </w:tc>
        <w:tc>
          <w:tcPr>
            <w:tcW w:w="2866" w:type="pct"/>
            <w:gridSpan w:val="3"/>
            <w:noWrap/>
            <w:tcMar>
              <w:top w:w="0" w:type="dxa"/>
              <w:left w:w="108" w:type="dxa"/>
              <w:bottom w:w="0" w:type="dxa"/>
              <w:right w:w="108"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25474元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415" w:type="pct"/>
            <w:gridSpan w:val="2"/>
            <w:vMerge w:val="continue"/>
            <w:vAlign w:val="center"/>
          </w:tcPr>
          <w:p>
            <w:pPr>
              <w:widowControl/>
              <w:jc w:val="left"/>
              <w:rPr>
                <w:rFonts w:cs="宋体" w:asciiTheme="minorEastAsia" w:hAnsiTheme="minorEastAsia"/>
                <w:color w:val="auto"/>
                <w:kern w:val="0"/>
                <w:sz w:val="24"/>
                <w:szCs w:val="24"/>
              </w:rPr>
            </w:pPr>
          </w:p>
        </w:tc>
        <w:tc>
          <w:tcPr>
            <w:tcW w:w="1719"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25474元～10万元（含）</w:t>
            </w:r>
          </w:p>
        </w:tc>
        <w:tc>
          <w:tcPr>
            <w:tcW w:w="2866" w:type="pct"/>
            <w:gridSpan w:val="3"/>
            <w:noWrap/>
            <w:tcMar>
              <w:top w:w="0" w:type="dxa"/>
              <w:left w:w="108" w:type="dxa"/>
              <w:bottom w:w="0" w:type="dxa"/>
              <w:right w:w="108"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9" w:hRule="atLeast"/>
          <w:jc w:val="center"/>
        </w:trPr>
        <w:tc>
          <w:tcPr>
            <w:tcW w:w="415" w:type="pct"/>
            <w:gridSpan w:val="2"/>
            <w:vMerge w:val="continue"/>
            <w:vAlign w:val="center"/>
          </w:tcPr>
          <w:p>
            <w:pPr>
              <w:widowControl/>
              <w:jc w:val="left"/>
              <w:rPr>
                <w:rFonts w:cs="宋体" w:asciiTheme="minorEastAsia" w:hAnsiTheme="minorEastAsia"/>
                <w:color w:val="auto"/>
                <w:kern w:val="0"/>
                <w:sz w:val="24"/>
                <w:szCs w:val="24"/>
              </w:rPr>
            </w:pPr>
          </w:p>
        </w:tc>
        <w:tc>
          <w:tcPr>
            <w:tcW w:w="1719"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10万元～20万元（含）</w:t>
            </w:r>
          </w:p>
        </w:tc>
        <w:tc>
          <w:tcPr>
            <w:tcW w:w="2866" w:type="pct"/>
            <w:gridSpan w:val="3"/>
            <w:noWrap/>
            <w:tcMar>
              <w:top w:w="0" w:type="dxa"/>
              <w:left w:w="108" w:type="dxa"/>
              <w:bottom w:w="0" w:type="dxa"/>
              <w:right w:w="108"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415" w:type="pct"/>
            <w:gridSpan w:val="2"/>
            <w:vMerge w:val="continue"/>
            <w:vAlign w:val="center"/>
          </w:tcPr>
          <w:p>
            <w:pPr>
              <w:widowControl/>
              <w:jc w:val="left"/>
              <w:rPr>
                <w:rFonts w:cs="宋体" w:asciiTheme="minorEastAsia" w:hAnsiTheme="minorEastAsia"/>
                <w:color w:val="auto"/>
                <w:kern w:val="0"/>
                <w:sz w:val="24"/>
                <w:szCs w:val="24"/>
              </w:rPr>
            </w:pPr>
          </w:p>
        </w:tc>
        <w:tc>
          <w:tcPr>
            <w:tcW w:w="1719"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&gt;20万元</w:t>
            </w:r>
          </w:p>
        </w:tc>
        <w:tc>
          <w:tcPr>
            <w:tcW w:w="2866" w:type="pct"/>
            <w:gridSpan w:val="3"/>
            <w:noWrap/>
            <w:tcMar>
              <w:top w:w="0" w:type="dxa"/>
              <w:left w:w="108" w:type="dxa"/>
              <w:bottom w:w="0" w:type="dxa"/>
              <w:right w:w="108"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2" w:hRule="atLeast"/>
          <w:jc w:val="center"/>
        </w:trPr>
        <w:tc>
          <w:tcPr>
            <w:tcW w:w="415" w:type="pct"/>
            <w:gridSpan w:val="2"/>
            <w:vMerge w:val="continue"/>
            <w:vAlign w:val="center"/>
          </w:tcPr>
          <w:p>
            <w:pPr>
              <w:widowControl/>
              <w:jc w:val="left"/>
              <w:rPr>
                <w:rFonts w:cs="宋体" w:asciiTheme="minorEastAsia" w:hAnsiTheme="minorEastAsia"/>
                <w:color w:val="auto"/>
                <w:kern w:val="0"/>
                <w:sz w:val="24"/>
                <w:szCs w:val="24"/>
              </w:rPr>
            </w:pPr>
          </w:p>
        </w:tc>
        <w:tc>
          <w:tcPr>
            <w:tcW w:w="1719"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最高赔付限额</w:t>
            </w:r>
          </w:p>
        </w:tc>
        <w:tc>
          <w:tcPr>
            <w:tcW w:w="2866" w:type="pct"/>
            <w:gridSpan w:val="3"/>
            <w:noWrap/>
            <w:tcMar>
              <w:top w:w="0" w:type="dxa"/>
              <w:left w:w="108" w:type="dxa"/>
              <w:bottom w:w="0" w:type="dxa"/>
              <w:right w:w="108"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门诊和住院合计40万元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7" w:hRule="atLeast"/>
          <w:jc w:val="center"/>
        </w:trPr>
        <w:tc>
          <w:tcPr>
            <w:tcW w:w="415"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参保</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条件</w:t>
            </w:r>
          </w:p>
        </w:tc>
        <w:tc>
          <w:tcPr>
            <w:tcW w:w="4585" w:type="pct"/>
            <w:gridSpan w:val="5"/>
            <w:tcMar>
              <w:top w:w="0" w:type="dxa"/>
              <w:left w:w="108" w:type="dxa"/>
              <w:bottom w:w="0" w:type="dxa"/>
              <w:right w:w="108" w:type="dxa"/>
            </w:tcMar>
            <w:vAlign w:val="center"/>
          </w:tcPr>
          <w:p>
            <w:pPr>
              <w:widowControl/>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rPr>
              <w:t>、未参加本市或异地职工基本医疗保险、异地城乡居民基本医疗保险的年满</w:t>
            </w:r>
            <w:r>
              <w:rPr>
                <w:rFonts w:cs="宋体" w:asciiTheme="minorEastAsia" w:hAnsiTheme="minorEastAsia"/>
                <w:color w:val="auto"/>
                <w:kern w:val="0"/>
                <w:sz w:val="24"/>
                <w:szCs w:val="24"/>
              </w:rPr>
              <w:t>16</w:t>
            </w:r>
            <w:r>
              <w:rPr>
                <w:rFonts w:hint="eastAsia" w:cs="宋体" w:asciiTheme="minorEastAsia" w:hAnsiTheme="minorEastAsia"/>
                <w:color w:val="auto"/>
                <w:kern w:val="0"/>
                <w:sz w:val="24"/>
                <w:szCs w:val="24"/>
              </w:rPr>
              <w:t>周岁以上本市户籍居民。</w:t>
            </w:r>
          </w:p>
          <w:p>
            <w:pPr>
              <w:widowControl/>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、未参加本市或异地职工基本医疗保险、异地城乡居民基本医疗保险的港、澳、台非从业人员。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0" w:hRule="atLeast"/>
          <w:jc w:val="center"/>
        </w:trPr>
        <w:tc>
          <w:tcPr>
            <w:tcW w:w="415" w:type="pct"/>
            <w:gridSpan w:val="2"/>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缴费</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标准</w:t>
            </w:r>
          </w:p>
        </w:tc>
        <w:tc>
          <w:tcPr>
            <w:tcW w:w="4585" w:type="pct"/>
            <w:gridSpan w:val="5"/>
            <w:noWrap/>
            <w:tcMar>
              <w:top w:w="0" w:type="dxa"/>
              <w:left w:w="108" w:type="dxa"/>
              <w:bottom w:w="0" w:type="dxa"/>
              <w:right w:w="108" w:type="dxa"/>
            </w:tcMar>
            <w:vAlign w:val="center"/>
          </w:tcPr>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个人缴费标准为每人每年400元，财政补助标准为每人每年740元。</w:t>
            </w:r>
          </w:p>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其中：本市户籍特困、低保、持有第二代残疾人证等救助对象</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个人免缴医疗保险费。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55" w:hRule="atLeast"/>
          <w:jc w:val="center"/>
        </w:trPr>
        <w:tc>
          <w:tcPr>
            <w:tcW w:w="415"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备</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注</w:t>
            </w:r>
          </w:p>
        </w:tc>
        <w:tc>
          <w:tcPr>
            <w:tcW w:w="4585" w:type="pct"/>
            <w:gridSpan w:val="5"/>
            <w:vAlign w:val="center"/>
          </w:tcPr>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1、对连续参保者，基本医疗保险门诊报销比例在原来基础上，每满一年提高一个百分点，最多可提高5个百分点。</w:t>
            </w:r>
          </w:p>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2、城乡居民连续参保时间不满12个月的，大病保险待遇按正常参保待遇的50%赔付；连续参保时间满12个月不满24个月的，按正常参保待遇的75%赔付；连续参保时间满24个月的，按正常参保待遇的100%赔付。</w:t>
            </w:r>
          </w:p>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城乡居民基本医疗保险根据参保人员户籍迁入厦门时间设立医保统筹基金最高支付限额。其中户籍迁入不满一年的，医保统筹基金支付门诊和住院医疗费用的最高支付限额，为城乡居民医保统筹基金最高支付限额的</w:t>
            </w:r>
            <w:r>
              <w:rPr>
                <w:rFonts w:cs="宋体" w:asciiTheme="minorEastAsia" w:hAnsiTheme="minorEastAsia"/>
                <w:color w:val="auto"/>
                <w:kern w:val="0"/>
                <w:sz w:val="24"/>
                <w:szCs w:val="24"/>
              </w:rPr>
              <w:t>50%</w:t>
            </w:r>
            <w:r>
              <w:rPr>
                <w:rFonts w:hint="eastAsia" w:cs="宋体" w:asciiTheme="minorEastAsia" w:hAnsiTheme="minorEastAsia"/>
                <w:color w:val="auto"/>
                <w:kern w:val="0"/>
                <w:sz w:val="24"/>
                <w:szCs w:val="24"/>
              </w:rPr>
              <w:t>。户籍迁入每满一年的，医保统筹基金最高支付限额提高</w:t>
            </w:r>
            <w:r>
              <w:rPr>
                <w:rFonts w:cs="宋体" w:asciiTheme="minorEastAsia" w:hAnsiTheme="minorEastAsia"/>
                <w:color w:val="auto"/>
                <w:kern w:val="0"/>
                <w:sz w:val="24"/>
                <w:szCs w:val="24"/>
              </w:rPr>
              <w:t>10</w:t>
            </w:r>
            <w:r>
              <w:rPr>
                <w:rFonts w:hint="eastAsia" w:cs="宋体" w:asciiTheme="minorEastAsia" w:hAnsiTheme="minorEastAsia"/>
                <w:color w:val="auto"/>
                <w:kern w:val="0"/>
                <w:sz w:val="24"/>
                <w:szCs w:val="24"/>
              </w:rPr>
              <w:t>％。</w:t>
            </w:r>
          </w:p>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可与省内参保直系亲属建立家庭共济账户，支付在定点医疗机构门诊和住院发生的由个人承担的医疗费用（非疾病治疗类除外）、接种预防性免疫二类疫苗的费用、在定点零售药店购买药品（准字号、中药饮片）、医疗器械（食药监械字、药监械字）和消毒用品（卫消字）的费用，体检费用等。</w:t>
            </w:r>
          </w:p>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本市户籍参保人员每人每年，在执行国家基本药物制度及零差价的社区卫生服务中心、乡镇卫生院等一级及以下定点医疗机构门诊就医时发生的属于国家基本药物的药品费用、诊察费及常规医疗检查费用，不超过500元部分由医保统筹基金全部报销。该费用不用于抵付起付标准。</w:t>
            </w:r>
          </w:p>
        </w:tc>
      </w:tr>
    </w:tbl>
    <w:p>
      <w:pPr>
        <w:widowControl/>
        <w:shd w:val="clear" w:color="auto" w:fill="FFFFFF"/>
        <w:jc w:val="center"/>
        <w:rPr>
          <w:rFonts w:cs="宋体" w:asciiTheme="minorEastAsia" w:hAnsiTheme="minorEastAsia"/>
          <w:b/>
          <w:color w:val="auto"/>
          <w:kern w:val="0"/>
          <w:sz w:val="28"/>
          <w:szCs w:val="28"/>
        </w:rPr>
      </w:pPr>
    </w:p>
    <w:p>
      <w:pPr>
        <w:widowControl/>
        <w:shd w:val="clear" w:color="auto" w:fill="FFFFFF"/>
        <w:spacing w:line="540" w:lineRule="atLeast"/>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大学生、未成年人医疗保险待遇简明表</w:t>
      </w:r>
    </w:p>
    <w:p>
      <w:pPr>
        <w:widowControl/>
        <w:shd w:val="clear" w:color="auto" w:fill="FFFFFF"/>
        <w:jc w:val="center"/>
        <w:rPr>
          <w:rFonts w:cs="宋体" w:asciiTheme="minorEastAsia" w:hAnsiTheme="minorEastAsia"/>
          <w:color w:val="auto"/>
          <w:kern w:val="0"/>
          <w:szCs w:val="21"/>
        </w:rPr>
      </w:pPr>
      <w:r>
        <w:rPr>
          <w:rFonts w:hint="eastAsia" w:cs="宋体" w:asciiTheme="minorEastAsia" w:hAnsiTheme="minorEastAsia"/>
          <w:color w:val="auto"/>
          <w:kern w:val="0"/>
          <w:szCs w:val="21"/>
        </w:rPr>
        <w:t>2021年7月—2022年6月</w:t>
      </w:r>
    </w:p>
    <w:tbl>
      <w:tblPr>
        <w:tblStyle w:val="7"/>
        <w:tblW w:w="45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67"/>
        <w:gridCol w:w="709"/>
        <w:gridCol w:w="3120"/>
        <w:gridCol w:w="1181"/>
        <w:gridCol w:w="806"/>
        <w:gridCol w:w="1884"/>
        <w:gridCol w:w="15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2236" w:type="pct"/>
            <w:gridSpan w:val="3"/>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项         目</w:t>
            </w:r>
          </w:p>
        </w:tc>
        <w:tc>
          <w:tcPr>
            <w:tcW w:w="1011"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三级医院</w:t>
            </w:r>
          </w:p>
        </w:tc>
        <w:tc>
          <w:tcPr>
            <w:tcW w:w="959"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二级医院</w:t>
            </w:r>
          </w:p>
        </w:tc>
        <w:tc>
          <w:tcPr>
            <w:tcW w:w="794"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一级医院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288" w:type="pct"/>
            <w:vMerge w:val="restart"/>
            <w:tcMar>
              <w:top w:w="0" w:type="dxa"/>
              <w:left w:w="108" w:type="dxa"/>
              <w:bottom w:w="0" w:type="dxa"/>
              <w:right w:w="108" w:type="dxa"/>
            </w:tcMar>
            <w:vAlign w:val="center"/>
          </w:tcPr>
          <w:p>
            <w:pPr>
              <w:widowControl/>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基本</w:t>
            </w:r>
          </w:p>
          <w:p>
            <w:pPr>
              <w:widowControl/>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医疗</w:t>
            </w:r>
          </w:p>
          <w:p>
            <w:pPr>
              <w:widowControl/>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保险</w:t>
            </w:r>
          </w:p>
        </w:tc>
        <w:tc>
          <w:tcPr>
            <w:tcW w:w="361" w:type="pct"/>
            <w:vMerge w:val="restart"/>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门诊</w:t>
            </w:r>
          </w:p>
        </w:tc>
        <w:tc>
          <w:tcPr>
            <w:tcW w:w="1588"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Times New Roman" w:asciiTheme="minorEastAsia" w:hAnsiTheme="minorEastAsia"/>
                <w:color w:val="auto"/>
                <w:kern w:val="0"/>
                <w:sz w:val="24"/>
                <w:szCs w:val="24"/>
              </w:rPr>
              <w:t>10000</w:t>
            </w:r>
            <w:r>
              <w:rPr>
                <w:rFonts w:hint="eastAsia" w:cs="宋体" w:asciiTheme="minorEastAsia" w:hAnsiTheme="minorEastAsia"/>
                <w:color w:val="auto"/>
                <w:kern w:val="0"/>
                <w:sz w:val="24"/>
                <w:szCs w:val="24"/>
              </w:rPr>
              <w:t>元以下</w:t>
            </w:r>
          </w:p>
        </w:tc>
        <w:tc>
          <w:tcPr>
            <w:tcW w:w="1011"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Times New Roman" w:asciiTheme="minorEastAsia" w:hAnsiTheme="minorEastAsia"/>
                <w:color w:val="auto"/>
                <w:kern w:val="0"/>
                <w:sz w:val="24"/>
                <w:szCs w:val="24"/>
              </w:rPr>
              <w:t>45</w:t>
            </w:r>
            <w:r>
              <w:rPr>
                <w:rFonts w:cs="Times New Roman" w:asciiTheme="minorEastAsia" w:hAnsiTheme="minorEastAsia"/>
                <w:color w:val="auto"/>
                <w:kern w:val="0"/>
                <w:sz w:val="24"/>
                <w:szCs w:val="24"/>
              </w:rPr>
              <w:t>%</w:t>
            </w:r>
          </w:p>
        </w:tc>
        <w:tc>
          <w:tcPr>
            <w:tcW w:w="959"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Times New Roman" w:asciiTheme="minorEastAsia" w:hAnsiTheme="minorEastAsia"/>
                <w:color w:val="auto"/>
                <w:kern w:val="0"/>
                <w:sz w:val="24"/>
                <w:szCs w:val="24"/>
              </w:rPr>
              <w:t>55</w:t>
            </w:r>
            <w:r>
              <w:rPr>
                <w:rFonts w:cs="Times New Roman" w:asciiTheme="minorEastAsia" w:hAnsiTheme="minorEastAsia"/>
                <w:color w:val="auto"/>
                <w:kern w:val="0"/>
                <w:sz w:val="24"/>
                <w:szCs w:val="24"/>
              </w:rPr>
              <w:t>%</w:t>
            </w:r>
          </w:p>
        </w:tc>
        <w:tc>
          <w:tcPr>
            <w:tcW w:w="794"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Times New Roman" w:asciiTheme="minorEastAsia" w:hAnsiTheme="minorEastAsia"/>
                <w:color w:val="auto"/>
                <w:kern w:val="0"/>
                <w:sz w:val="24"/>
                <w:szCs w:val="24"/>
              </w:rPr>
              <w:t>65</w:t>
            </w:r>
            <w:r>
              <w:rPr>
                <w:rFonts w:cs="Times New Roman" w:asciiTheme="minorEastAsia" w:hAnsiTheme="minorEastAsia"/>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288" w:type="pct"/>
            <w:vMerge w:val="continue"/>
            <w:vAlign w:val="center"/>
          </w:tcPr>
          <w:p>
            <w:pPr>
              <w:widowControl/>
              <w:jc w:val="left"/>
              <w:rPr>
                <w:rFonts w:cs="宋体" w:asciiTheme="minorEastAsia" w:hAnsiTheme="minorEastAsia"/>
                <w:color w:val="auto"/>
                <w:kern w:val="0"/>
                <w:sz w:val="24"/>
                <w:szCs w:val="24"/>
              </w:rPr>
            </w:pPr>
          </w:p>
        </w:tc>
        <w:tc>
          <w:tcPr>
            <w:tcW w:w="361" w:type="pct"/>
            <w:vMerge w:val="continue"/>
            <w:vAlign w:val="center"/>
          </w:tcPr>
          <w:p>
            <w:pPr>
              <w:widowControl/>
              <w:jc w:val="left"/>
              <w:rPr>
                <w:rFonts w:cs="宋体" w:asciiTheme="minorEastAsia" w:hAnsiTheme="minorEastAsia"/>
                <w:color w:val="auto"/>
                <w:kern w:val="0"/>
                <w:sz w:val="24"/>
                <w:szCs w:val="24"/>
              </w:rPr>
            </w:pPr>
          </w:p>
        </w:tc>
        <w:tc>
          <w:tcPr>
            <w:tcW w:w="1588"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w:t>
            </w:r>
            <w:r>
              <w:rPr>
                <w:rFonts w:cs="Times New Roman" w:asciiTheme="minorEastAsia" w:hAnsiTheme="minorEastAsia"/>
                <w:color w:val="auto"/>
                <w:kern w:val="0"/>
                <w:sz w:val="24"/>
                <w:szCs w:val="24"/>
              </w:rPr>
              <w:t>10000</w:t>
            </w:r>
            <w:r>
              <w:rPr>
                <w:rFonts w:hint="eastAsia" w:cs="宋体" w:asciiTheme="minorEastAsia" w:hAnsiTheme="minorEastAsia"/>
                <w:color w:val="auto"/>
                <w:kern w:val="0"/>
                <w:sz w:val="24"/>
                <w:szCs w:val="24"/>
              </w:rPr>
              <w:t>元</w:t>
            </w:r>
          </w:p>
        </w:tc>
        <w:tc>
          <w:tcPr>
            <w:tcW w:w="1011"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Times New Roman" w:asciiTheme="minorEastAsia" w:hAnsiTheme="minorEastAsia"/>
                <w:color w:val="auto"/>
                <w:kern w:val="0"/>
                <w:sz w:val="24"/>
                <w:szCs w:val="24"/>
              </w:rPr>
              <w:t>65</w:t>
            </w:r>
            <w:r>
              <w:rPr>
                <w:rFonts w:cs="Times New Roman" w:asciiTheme="minorEastAsia" w:hAnsiTheme="minorEastAsia"/>
                <w:color w:val="auto"/>
                <w:kern w:val="0"/>
                <w:sz w:val="24"/>
                <w:szCs w:val="24"/>
              </w:rPr>
              <w:t>%</w:t>
            </w:r>
          </w:p>
        </w:tc>
        <w:tc>
          <w:tcPr>
            <w:tcW w:w="959"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Times New Roman" w:asciiTheme="minorEastAsia" w:hAnsiTheme="minorEastAsia"/>
                <w:color w:val="auto"/>
                <w:kern w:val="0"/>
                <w:sz w:val="24"/>
                <w:szCs w:val="24"/>
              </w:rPr>
              <w:t>75</w:t>
            </w:r>
            <w:r>
              <w:rPr>
                <w:rFonts w:cs="Times New Roman" w:asciiTheme="minorEastAsia" w:hAnsiTheme="minorEastAsia"/>
                <w:color w:val="auto"/>
                <w:kern w:val="0"/>
                <w:sz w:val="24"/>
                <w:szCs w:val="24"/>
              </w:rPr>
              <w:t>%</w:t>
            </w:r>
          </w:p>
        </w:tc>
        <w:tc>
          <w:tcPr>
            <w:tcW w:w="794"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Times New Roman" w:asciiTheme="minorEastAsia" w:hAnsiTheme="minorEastAsia"/>
                <w:color w:val="auto"/>
                <w:kern w:val="0"/>
                <w:sz w:val="24"/>
                <w:szCs w:val="24"/>
              </w:rPr>
              <w:t>85</w:t>
            </w:r>
            <w:r>
              <w:rPr>
                <w:rFonts w:cs="Times New Roman" w:asciiTheme="minorEastAsia" w:hAnsiTheme="minorEastAsia"/>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288" w:type="pct"/>
            <w:vMerge w:val="continue"/>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p>
        </w:tc>
        <w:tc>
          <w:tcPr>
            <w:tcW w:w="361" w:type="pct"/>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住院</w:t>
            </w:r>
          </w:p>
        </w:tc>
        <w:tc>
          <w:tcPr>
            <w:tcW w:w="1588"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Times New Roman" w:asciiTheme="minorEastAsia" w:hAnsiTheme="minorEastAsia"/>
                <w:color w:val="auto"/>
                <w:kern w:val="0"/>
                <w:sz w:val="24"/>
                <w:szCs w:val="24"/>
              </w:rPr>
              <w:t>最高支付限额</w:t>
            </w:r>
            <w:r>
              <w:rPr>
                <w:rFonts w:hint="eastAsia" w:cs="宋体" w:asciiTheme="minorEastAsia" w:hAnsiTheme="minorEastAsia"/>
                <w:color w:val="auto"/>
                <w:kern w:val="0"/>
                <w:sz w:val="24"/>
                <w:szCs w:val="24"/>
              </w:rPr>
              <w:t>以下</w:t>
            </w:r>
          </w:p>
        </w:tc>
        <w:tc>
          <w:tcPr>
            <w:tcW w:w="1011"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Times New Roman" w:asciiTheme="minorEastAsia" w:hAnsiTheme="minorEastAsia"/>
                <w:color w:val="auto"/>
                <w:kern w:val="0"/>
                <w:sz w:val="24"/>
                <w:szCs w:val="24"/>
              </w:rPr>
              <w:t>73</w:t>
            </w:r>
            <w:r>
              <w:rPr>
                <w:rFonts w:cs="Times New Roman" w:asciiTheme="minorEastAsia" w:hAnsiTheme="minorEastAsia"/>
                <w:color w:val="auto"/>
                <w:kern w:val="0"/>
                <w:sz w:val="24"/>
                <w:szCs w:val="24"/>
              </w:rPr>
              <w:t>%</w:t>
            </w:r>
          </w:p>
        </w:tc>
        <w:tc>
          <w:tcPr>
            <w:tcW w:w="959"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Times New Roman" w:asciiTheme="minorEastAsia" w:hAnsiTheme="minorEastAsia"/>
                <w:color w:val="auto"/>
                <w:kern w:val="0"/>
                <w:sz w:val="24"/>
                <w:szCs w:val="24"/>
              </w:rPr>
              <w:t>80</w:t>
            </w:r>
            <w:r>
              <w:rPr>
                <w:rFonts w:cs="Times New Roman" w:asciiTheme="minorEastAsia" w:hAnsiTheme="minorEastAsia"/>
                <w:color w:val="auto"/>
                <w:kern w:val="0"/>
                <w:sz w:val="24"/>
                <w:szCs w:val="24"/>
              </w:rPr>
              <w:t>%</w:t>
            </w:r>
          </w:p>
        </w:tc>
        <w:tc>
          <w:tcPr>
            <w:tcW w:w="794"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Times New Roman" w:asciiTheme="minorEastAsia" w:hAnsiTheme="minorEastAsia"/>
                <w:color w:val="auto"/>
                <w:kern w:val="0"/>
                <w:sz w:val="24"/>
                <w:szCs w:val="24"/>
              </w:rPr>
              <w:t>90</w:t>
            </w:r>
            <w:r>
              <w:rPr>
                <w:rFonts w:cs="Times New Roman" w:asciiTheme="minorEastAsia" w:hAnsiTheme="minorEastAsia"/>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288" w:type="pct"/>
            <w:vMerge w:val="continue"/>
            <w:vAlign w:val="center"/>
          </w:tcPr>
          <w:p>
            <w:pPr>
              <w:widowControl/>
              <w:jc w:val="left"/>
              <w:rPr>
                <w:rFonts w:cs="宋体" w:asciiTheme="minorEastAsia" w:hAnsiTheme="minorEastAsia"/>
                <w:color w:val="auto"/>
                <w:kern w:val="0"/>
                <w:sz w:val="24"/>
                <w:szCs w:val="24"/>
              </w:rPr>
            </w:pPr>
          </w:p>
        </w:tc>
        <w:tc>
          <w:tcPr>
            <w:tcW w:w="1948" w:type="pct"/>
            <w:gridSpan w:val="2"/>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最高支付限额</w:t>
            </w:r>
          </w:p>
        </w:tc>
        <w:tc>
          <w:tcPr>
            <w:tcW w:w="2764" w:type="pct"/>
            <w:gridSpan w:val="4"/>
            <w:noWrap/>
            <w:tcMar>
              <w:top w:w="0" w:type="dxa"/>
              <w:left w:w="108" w:type="dxa"/>
              <w:bottom w:w="0" w:type="dxa"/>
              <w:right w:w="108" w:type="dxa"/>
            </w:tcMar>
            <w:vAlign w:val="center"/>
          </w:tcPr>
          <w:p>
            <w:pPr>
              <w:widowControl/>
              <w:jc w:val="center"/>
              <w:rPr>
                <w:rFonts w:cs="Times New Roman" w:asciiTheme="minorEastAsia" w:hAnsiTheme="minorEastAsia"/>
                <w:color w:val="auto"/>
                <w:kern w:val="0"/>
                <w:sz w:val="24"/>
                <w:szCs w:val="24"/>
              </w:rPr>
            </w:pPr>
            <w:r>
              <w:rPr>
                <w:rFonts w:hint="eastAsia" w:cs="宋体" w:asciiTheme="minorEastAsia" w:hAnsiTheme="minorEastAsia"/>
                <w:color w:val="auto"/>
                <w:kern w:val="0"/>
                <w:sz w:val="24"/>
                <w:szCs w:val="24"/>
              </w:rPr>
              <w:t>门诊和住院合计10万元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649" w:type="pct"/>
            <w:gridSpan w:val="2"/>
            <w:vMerge w:val="restart"/>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大</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病</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医</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疗</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保</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险</w:t>
            </w:r>
          </w:p>
        </w:tc>
        <w:tc>
          <w:tcPr>
            <w:tcW w:w="1588"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起付标准（个人自付）</w:t>
            </w:r>
          </w:p>
        </w:tc>
        <w:tc>
          <w:tcPr>
            <w:tcW w:w="2764" w:type="pct"/>
            <w:gridSpan w:val="4"/>
            <w:noWrap/>
            <w:tcMar>
              <w:top w:w="0" w:type="dxa"/>
              <w:left w:w="108" w:type="dxa"/>
              <w:bottom w:w="0" w:type="dxa"/>
              <w:right w:w="108"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25474元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649" w:type="pct"/>
            <w:gridSpan w:val="2"/>
            <w:vMerge w:val="continue"/>
            <w:vAlign w:val="center"/>
          </w:tcPr>
          <w:p>
            <w:pPr>
              <w:widowControl/>
              <w:jc w:val="left"/>
              <w:rPr>
                <w:rFonts w:cs="宋体" w:asciiTheme="minorEastAsia" w:hAnsiTheme="minorEastAsia"/>
                <w:color w:val="auto"/>
                <w:kern w:val="0"/>
                <w:sz w:val="24"/>
                <w:szCs w:val="24"/>
              </w:rPr>
            </w:pPr>
          </w:p>
        </w:tc>
        <w:tc>
          <w:tcPr>
            <w:tcW w:w="1588"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25474元～10万元（含）</w:t>
            </w:r>
          </w:p>
        </w:tc>
        <w:tc>
          <w:tcPr>
            <w:tcW w:w="2764" w:type="pct"/>
            <w:gridSpan w:val="4"/>
            <w:noWrap/>
            <w:tcMar>
              <w:top w:w="0" w:type="dxa"/>
              <w:left w:w="108" w:type="dxa"/>
              <w:bottom w:w="0" w:type="dxa"/>
              <w:right w:w="108"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649" w:type="pct"/>
            <w:gridSpan w:val="2"/>
            <w:vMerge w:val="continue"/>
            <w:vAlign w:val="center"/>
          </w:tcPr>
          <w:p>
            <w:pPr>
              <w:widowControl/>
              <w:jc w:val="left"/>
              <w:rPr>
                <w:rFonts w:cs="宋体" w:asciiTheme="minorEastAsia" w:hAnsiTheme="minorEastAsia"/>
                <w:color w:val="auto"/>
                <w:kern w:val="0"/>
                <w:sz w:val="24"/>
                <w:szCs w:val="24"/>
              </w:rPr>
            </w:pPr>
          </w:p>
        </w:tc>
        <w:tc>
          <w:tcPr>
            <w:tcW w:w="1588"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10万元～20万元（含）</w:t>
            </w:r>
          </w:p>
        </w:tc>
        <w:tc>
          <w:tcPr>
            <w:tcW w:w="2764" w:type="pct"/>
            <w:gridSpan w:val="4"/>
            <w:noWrap/>
            <w:tcMar>
              <w:top w:w="0" w:type="dxa"/>
              <w:left w:w="108" w:type="dxa"/>
              <w:bottom w:w="0" w:type="dxa"/>
              <w:right w:w="108"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649" w:type="pct"/>
            <w:gridSpan w:val="2"/>
            <w:vMerge w:val="continue"/>
            <w:vAlign w:val="center"/>
          </w:tcPr>
          <w:p>
            <w:pPr>
              <w:widowControl/>
              <w:jc w:val="left"/>
              <w:rPr>
                <w:rFonts w:cs="宋体" w:asciiTheme="minorEastAsia" w:hAnsiTheme="minorEastAsia"/>
                <w:color w:val="auto"/>
                <w:kern w:val="0"/>
                <w:sz w:val="24"/>
                <w:szCs w:val="24"/>
              </w:rPr>
            </w:pPr>
          </w:p>
        </w:tc>
        <w:tc>
          <w:tcPr>
            <w:tcW w:w="1588"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&gt;20万元</w:t>
            </w:r>
          </w:p>
        </w:tc>
        <w:tc>
          <w:tcPr>
            <w:tcW w:w="2764" w:type="pct"/>
            <w:gridSpan w:val="4"/>
            <w:noWrap/>
            <w:tcMar>
              <w:top w:w="0" w:type="dxa"/>
              <w:left w:w="108" w:type="dxa"/>
              <w:bottom w:w="0" w:type="dxa"/>
              <w:right w:w="108"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649" w:type="pct"/>
            <w:gridSpan w:val="2"/>
            <w:vMerge w:val="continue"/>
            <w:vAlign w:val="center"/>
          </w:tcPr>
          <w:p>
            <w:pPr>
              <w:widowControl/>
              <w:jc w:val="left"/>
              <w:rPr>
                <w:rFonts w:cs="宋体" w:asciiTheme="minorEastAsia" w:hAnsiTheme="minorEastAsia"/>
                <w:color w:val="auto"/>
                <w:kern w:val="0"/>
                <w:sz w:val="24"/>
                <w:szCs w:val="24"/>
              </w:rPr>
            </w:pPr>
          </w:p>
        </w:tc>
        <w:tc>
          <w:tcPr>
            <w:tcW w:w="1588" w:type="pc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最高赔付限额</w:t>
            </w:r>
          </w:p>
        </w:tc>
        <w:tc>
          <w:tcPr>
            <w:tcW w:w="2764" w:type="pct"/>
            <w:gridSpan w:val="4"/>
            <w:noWrap/>
            <w:tcMar>
              <w:top w:w="0" w:type="dxa"/>
              <w:left w:w="108" w:type="dxa"/>
              <w:bottom w:w="0" w:type="dxa"/>
              <w:right w:w="108" w:type="dxa"/>
            </w:tcMar>
            <w:vAlign w:val="center"/>
          </w:tcPr>
          <w:p>
            <w:pPr>
              <w:widowControl/>
              <w:jc w:val="center"/>
              <w:rPr>
                <w:rFonts w:cs="Times New Roman" w:asciiTheme="minorEastAsia" w:hAnsiTheme="minorEastAsia"/>
                <w:color w:val="auto"/>
                <w:kern w:val="0"/>
                <w:sz w:val="24"/>
                <w:szCs w:val="24"/>
              </w:rPr>
            </w:pPr>
            <w:r>
              <w:rPr>
                <w:rFonts w:hint="eastAsia" w:cs="宋体" w:asciiTheme="minorEastAsia" w:hAnsiTheme="minorEastAsia"/>
                <w:color w:val="auto"/>
                <w:kern w:val="0"/>
                <w:sz w:val="24"/>
                <w:szCs w:val="24"/>
              </w:rPr>
              <w:t>门诊和住院合计40万元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649" w:type="pct"/>
            <w:gridSpan w:val="2"/>
            <w:tcMar>
              <w:top w:w="0" w:type="dxa"/>
              <w:left w:w="108" w:type="dxa"/>
              <w:bottom w:w="0" w:type="dxa"/>
              <w:right w:w="108" w:type="dxa"/>
            </w:tcMar>
            <w:vAlign w:val="center"/>
          </w:tcPr>
          <w:p>
            <w:pPr>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身份</w:t>
            </w:r>
          </w:p>
        </w:tc>
        <w:tc>
          <w:tcPr>
            <w:tcW w:w="2189" w:type="pct"/>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大   学   生</w:t>
            </w:r>
          </w:p>
        </w:tc>
        <w:tc>
          <w:tcPr>
            <w:tcW w:w="2163" w:type="pct"/>
            <w:gridSpan w:val="3"/>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未  成  年  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4" w:hRule="atLeast"/>
          <w:jc w:val="center"/>
        </w:trPr>
        <w:tc>
          <w:tcPr>
            <w:tcW w:w="649" w:type="pct"/>
            <w:gridSpan w:val="2"/>
            <w:vMerge w:val="restart"/>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参</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保</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条</w:t>
            </w:r>
          </w:p>
          <w:p>
            <w:pPr>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件</w:t>
            </w:r>
          </w:p>
        </w:tc>
        <w:tc>
          <w:tcPr>
            <w:tcW w:w="4351" w:type="pct"/>
            <w:gridSpan w:val="5"/>
            <w:noWrap/>
            <w:tcMar>
              <w:top w:w="0" w:type="dxa"/>
              <w:left w:w="108" w:type="dxa"/>
              <w:bottom w:w="0" w:type="dxa"/>
              <w:right w:w="108" w:type="dxa"/>
            </w:tcMar>
            <w:vAlign w:val="center"/>
          </w:tcPr>
          <w:p>
            <w:pPr>
              <w:widowControl/>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未参加本市或异地职工基本医疗保险、异地城乡居民基本医疗保险的大学生、未成年人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69" w:hRule="atLeast"/>
          <w:jc w:val="center"/>
        </w:trPr>
        <w:tc>
          <w:tcPr>
            <w:tcW w:w="649" w:type="pct"/>
            <w:gridSpan w:val="2"/>
            <w:vMerge w:val="continue"/>
            <w:vAlign w:val="center"/>
          </w:tcPr>
          <w:p>
            <w:pPr>
              <w:jc w:val="center"/>
              <w:rPr>
                <w:rFonts w:cs="宋体" w:asciiTheme="minorEastAsia" w:hAnsiTheme="minorEastAsia"/>
                <w:color w:val="auto"/>
                <w:kern w:val="0"/>
                <w:sz w:val="24"/>
                <w:szCs w:val="24"/>
              </w:rPr>
            </w:pPr>
          </w:p>
        </w:tc>
        <w:tc>
          <w:tcPr>
            <w:tcW w:w="2189" w:type="pct"/>
            <w:gridSpan w:val="2"/>
            <w:tcMar>
              <w:top w:w="0" w:type="dxa"/>
              <w:left w:w="108" w:type="dxa"/>
              <w:bottom w:w="0" w:type="dxa"/>
              <w:right w:w="108" w:type="dxa"/>
            </w:tcMar>
            <w:vAlign w:val="center"/>
          </w:tcPr>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1、本市辖区内的各类全日制普通高等院校、科研院所（以下统称“高校”）中接受普通高等学历教育的全日制本专科生、全日制研究生（以下统称“大学生”）；</w:t>
            </w:r>
          </w:p>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2、大学生包括以上高校中全日制教育的侨、港、澳、台大学生。</w:t>
            </w:r>
          </w:p>
        </w:tc>
        <w:tc>
          <w:tcPr>
            <w:tcW w:w="2163" w:type="pct"/>
            <w:gridSpan w:val="3"/>
            <w:tcMar>
              <w:top w:w="0" w:type="dxa"/>
              <w:left w:w="108" w:type="dxa"/>
              <w:bottom w:w="0" w:type="dxa"/>
              <w:right w:w="108" w:type="dxa"/>
            </w:tcMar>
            <w:vAlign w:val="center"/>
          </w:tcPr>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1、18周岁以下的未成年人（其中，未在学校就读且未满18周岁的非本市户籍未成年人，必须是居住在本市，其父亲或母亲持有效《居住证》，在本市用人单位就业并签订劳动合同且缴纳社会保险费的）；</w:t>
            </w:r>
          </w:p>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2、18周岁以上在政府批准设立的相当高中学历学校的在册学生。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69" w:hRule="atLeast"/>
          <w:jc w:val="center"/>
        </w:trPr>
        <w:tc>
          <w:tcPr>
            <w:tcW w:w="649" w:type="pct"/>
            <w:gridSpan w:val="2"/>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参</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保</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时</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间</w:t>
            </w:r>
          </w:p>
        </w:tc>
        <w:tc>
          <w:tcPr>
            <w:tcW w:w="2189" w:type="pct"/>
            <w:gridSpan w:val="2"/>
            <w:tcMar>
              <w:top w:w="0" w:type="dxa"/>
              <w:left w:w="108" w:type="dxa"/>
              <w:bottom w:w="0" w:type="dxa"/>
              <w:right w:w="108" w:type="dxa"/>
            </w:tcMar>
            <w:vAlign w:val="center"/>
          </w:tcPr>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各高校参保大学生，每年6月份由所在学校将个人缴纳的医疗保险费统一上缴到税务部门；新入学的大学生应在当年9月至10月份由学校向税务部门办理参保手续，并在11月底前缴纳医疗保险费。</w:t>
            </w:r>
          </w:p>
        </w:tc>
        <w:tc>
          <w:tcPr>
            <w:tcW w:w="2163" w:type="pct"/>
            <w:gridSpan w:val="3"/>
            <w:tcMar>
              <w:top w:w="0" w:type="dxa"/>
              <w:left w:w="108" w:type="dxa"/>
              <w:bottom w:w="0" w:type="dxa"/>
              <w:right w:w="108" w:type="dxa"/>
            </w:tcMar>
            <w:vAlign w:val="center"/>
          </w:tcPr>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每年</w:t>
            </w:r>
            <w:r>
              <w:rPr>
                <w:rFonts w:cs="Times New Roman" w:asciiTheme="minorEastAsia" w:hAnsiTheme="minorEastAsia"/>
                <w:color w:val="auto"/>
                <w:kern w:val="0"/>
                <w:sz w:val="24"/>
                <w:szCs w:val="24"/>
              </w:rPr>
              <w:t>3</w:t>
            </w:r>
            <w:r>
              <w:rPr>
                <w:rFonts w:hint="eastAsia" w:cs="宋体" w:asciiTheme="minorEastAsia" w:hAnsiTheme="minorEastAsia"/>
                <w:color w:val="auto"/>
                <w:kern w:val="0"/>
                <w:sz w:val="24"/>
                <w:szCs w:val="24"/>
              </w:rPr>
              <w:t>月</w:t>
            </w:r>
            <w:r>
              <w:rPr>
                <w:rFonts w:cs="Times New Roman" w:asciiTheme="minorEastAsia" w:hAnsiTheme="minorEastAsia"/>
                <w:color w:val="auto"/>
                <w:kern w:val="0"/>
                <w:sz w:val="24"/>
                <w:szCs w:val="24"/>
              </w:rPr>
              <w:t>10</w:t>
            </w:r>
            <w:r>
              <w:rPr>
                <w:rFonts w:hint="eastAsia" w:cs="宋体" w:asciiTheme="minorEastAsia" w:hAnsiTheme="minorEastAsia"/>
                <w:color w:val="auto"/>
                <w:kern w:val="0"/>
                <w:sz w:val="24"/>
                <w:szCs w:val="24"/>
              </w:rPr>
              <w:t>日至</w:t>
            </w:r>
            <w:r>
              <w:rPr>
                <w:rFonts w:cs="Times New Roman" w:asciiTheme="minorEastAsia" w:hAnsiTheme="minorEastAsia"/>
                <w:color w:val="auto"/>
                <w:kern w:val="0"/>
                <w:sz w:val="24"/>
                <w:szCs w:val="24"/>
              </w:rPr>
              <w:t>5</w:t>
            </w:r>
            <w:r>
              <w:rPr>
                <w:rFonts w:hint="eastAsia" w:cs="宋体" w:asciiTheme="minorEastAsia" w:hAnsiTheme="minorEastAsia"/>
                <w:color w:val="auto"/>
                <w:kern w:val="0"/>
                <w:sz w:val="24"/>
                <w:szCs w:val="24"/>
              </w:rPr>
              <w:t>月</w:t>
            </w:r>
            <w:r>
              <w:rPr>
                <w:rFonts w:cs="Times New Roman" w:asciiTheme="minorEastAsia" w:hAnsiTheme="minorEastAsia"/>
                <w:color w:val="auto"/>
                <w:kern w:val="0"/>
                <w:sz w:val="24"/>
                <w:szCs w:val="24"/>
              </w:rPr>
              <w:t>25</w:t>
            </w:r>
            <w:r>
              <w:rPr>
                <w:rFonts w:hint="eastAsia" w:cs="宋体" w:asciiTheme="minorEastAsia" w:hAnsiTheme="minorEastAsia"/>
                <w:color w:val="auto"/>
                <w:kern w:val="0"/>
                <w:sz w:val="24"/>
                <w:szCs w:val="24"/>
              </w:rPr>
              <w:t>日向学校、居（村）委会申请参保；新生儿（一周岁以内）每月均可办理。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49" w:type="pct"/>
            <w:gridSpan w:val="2"/>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缴费</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标准</w:t>
            </w:r>
          </w:p>
        </w:tc>
        <w:tc>
          <w:tcPr>
            <w:tcW w:w="4351" w:type="pct"/>
            <w:gridSpan w:val="5"/>
            <w:tcMar>
              <w:top w:w="0" w:type="dxa"/>
              <w:left w:w="108" w:type="dxa"/>
              <w:bottom w:w="0" w:type="dxa"/>
              <w:right w:w="108" w:type="dxa"/>
            </w:tcMar>
            <w:vAlign w:val="center"/>
          </w:tcPr>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个人缴费标准为每人每年400元，财政补助标准为每人每年740元。</w:t>
            </w:r>
          </w:p>
          <w:p>
            <w:pPr>
              <w:widowControl/>
              <w:jc w:val="left"/>
              <w:rPr>
                <w:rFonts w:cs="宋体" w:asciiTheme="minorEastAsia" w:hAnsiTheme="minorEastAsia"/>
                <w:color w:val="auto"/>
                <w:kern w:val="0"/>
                <w:sz w:val="24"/>
                <w:szCs w:val="24"/>
                <w:highlight w:val="yellow"/>
              </w:rPr>
            </w:pPr>
            <w:r>
              <w:rPr>
                <w:rFonts w:hint="eastAsia" w:cs="宋体" w:asciiTheme="minorEastAsia" w:hAnsiTheme="minorEastAsia"/>
                <w:color w:val="auto"/>
                <w:kern w:val="0"/>
                <w:sz w:val="24"/>
                <w:szCs w:val="24"/>
              </w:rPr>
              <w:t>其中，困难大学生、本市户籍特困、低保、持有第二代残疾人证的未成年人等救助对象，个人免缴医疗保险费。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84" w:hRule="atLeast"/>
          <w:jc w:val="center"/>
        </w:trPr>
        <w:tc>
          <w:tcPr>
            <w:tcW w:w="649" w:type="pct"/>
            <w:gridSpan w:val="2"/>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备</w:t>
            </w:r>
          </w:p>
          <w:p>
            <w:pPr>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注</w:t>
            </w:r>
          </w:p>
        </w:tc>
        <w:tc>
          <w:tcPr>
            <w:tcW w:w="4351" w:type="pct"/>
            <w:gridSpan w:val="5"/>
            <w:tcMar>
              <w:top w:w="0" w:type="dxa"/>
              <w:left w:w="108" w:type="dxa"/>
              <w:bottom w:w="0" w:type="dxa"/>
              <w:right w:w="108" w:type="dxa"/>
            </w:tcMar>
            <w:vAlign w:val="center"/>
          </w:tcPr>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1、对连续参保者，基本医疗保险门诊报销比例在原来基础上，每满一年提高一个百分点，最多可提高5个百分点。</w:t>
            </w:r>
          </w:p>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可与省内参保直系亲属建立家庭共济账户，支付在定点医疗机构门诊和住院发生的由个人承担的医疗费用（非疾病治疗类除外）、接种预防性免疫二类疫苗的费用、在定点零售药店购买药品（准字号、中药饮片）、医疗器械（食药监械字、药监械字）和消毒用品（卫消字）的费用，体检费用等。</w:t>
            </w:r>
          </w:p>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参保人员每人每年，在执行国家基本药物制度及零差价的社区卫生服务中心、乡镇卫生院等一级及以下定点医疗机构门诊就医时发生的属于国家基本药物的药品费用、诊察费及常规医疗检查费用，不超过500元部分由医保统筹基金全部报销。</w:t>
            </w:r>
          </w:p>
        </w:tc>
      </w:tr>
    </w:tbl>
    <w:p>
      <w:pPr>
        <w:widowControl/>
        <w:shd w:val="clear" w:color="auto" w:fill="FFFFFF"/>
        <w:jc w:val="center"/>
        <w:rPr>
          <w:rFonts w:cs="宋体" w:asciiTheme="minorEastAsia" w:hAnsiTheme="minorEastAsia"/>
          <w:color w:val="auto"/>
          <w:kern w:val="0"/>
          <w:szCs w:val="21"/>
        </w:rPr>
      </w:pPr>
      <w:r>
        <w:rPr>
          <w:rFonts w:hint="eastAsia" w:cs="宋体" w:asciiTheme="minorEastAsia" w:hAnsiTheme="minorEastAsia"/>
          <w:b/>
          <w:bCs/>
          <w:color w:val="auto"/>
          <w:kern w:val="0"/>
          <w:sz w:val="28"/>
          <w:szCs w:val="28"/>
        </w:rPr>
        <w:t>城镇职工</w:t>
      </w:r>
      <w:r>
        <w:rPr>
          <w:rFonts w:hint="eastAsia" w:cs="宋体" w:asciiTheme="minorEastAsia" w:hAnsiTheme="minorEastAsia"/>
          <w:b/>
          <w:color w:val="auto"/>
          <w:kern w:val="0"/>
          <w:sz w:val="28"/>
          <w:szCs w:val="28"/>
        </w:rPr>
        <w:t>医疗保险待遇简明表</w:t>
      </w:r>
    </w:p>
    <w:p>
      <w:pPr>
        <w:widowControl/>
        <w:shd w:val="clear" w:color="auto" w:fill="FFFFFF"/>
        <w:jc w:val="center"/>
        <w:rPr>
          <w:rFonts w:cs="宋体" w:asciiTheme="minorEastAsia" w:hAnsiTheme="minorEastAsia"/>
          <w:color w:val="auto"/>
          <w:kern w:val="0"/>
          <w:szCs w:val="21"/>
        </w:rPr>
      </w:pPr>
      <w:r>
        <w:rPr>
          <w:rFonts w:hint="eastAsia" w:cs="宋体" w:asciiTheme="minorEastAsia" w:hAnsiTheme="minorEastAsia"/>
          <w:color w:val="auto"/>
          <w:kern w:val="0"/>
          <w:szCs w:val="21"/>
        </w:rPr>
        <w:t>2021年7月—2022年6月</w:t>
      </w:r>
    </w:p>
    <w:tbl>
      <w:tblPr>
        <w:tblStyle w:val="7"/>
        <w:tblW w:w="5010" w:type="pct"/>
        <w:jc w:val="center"/>
        <w:tblLayout w:type="autofit"/>
        <w:tblCellMar>
          <w:top w:w="0" w:type="dxa"/>
          <w:left w:w="0" w:type="dxa"/>
          <w:bottom w:w="0" w:type="dxa"/>
          <w:right w:w="0" w:type="dxa"/>
        </w:tblCellMar>
      </w:tblPr>
      <w:tblGrid>
        <w:gridCol w:w="385"/>
        <w:gridCol w:w="23"/>
        <w:gridCol w:w="374"/>
        <w:gridCol w:w="10"/>
        <w:gridCol w:w="914"/>
        <w:gridCol w:w="2725"/>
        <w:gridCol w:w="850"/>
        <w:gridCol w:w="1220"/>
        <w:gridCol w:w="1388"/>
        <w:gridCol w:w="1391"/>
        <w:gridCol w:w="1237"/>
      </w:tblGrid>
      <w:tr>
        <w:tblPrEx>
          <w:tblCellMar>
            <w:top w:w="0" w:type="dxa"/>
            <w:left w:w="0" w:type="dxa"/>
            <w:bottom w:w="0" w:type="dxa"/>
            <w:right w:w="0" w:type="dxa"/>
          </w:tblCellMar>
        </w:tblPrEx>
        <w:trPr>
          <w:trHeight w:val="452" w:hRule="atLeast"/>
          <w:jc w:val="center"/>
        </w:trPr>
        <w:tc>
          <w:tcPr>
            <w:tcW w:w="6501" w:type="dxa"/>
            <w:gridSpan w:val="8"/>
            <w:tcBorders>
              <w:top w:val="single" w:color="auto" w:sz="8" w:space="0"/>
              <w:left w:val="single" w:color="auto" w:sz="8" w:space="0"/>
              <w:bottom w:val="single" w:color="auto" w:sz="8" w:space="0"/>
              <w:right w:val="single" w:color="auto" w:sz="8" w:space="0"/>
              <w:tl2br w:val="single" w:color="auto" w:sz="4" w:space="0"/>
            </w:tcBorders>
            <w:tcMar>
              <w:top w:w="15" w:type="dxa"/>
              <w:left w:w="15" w:type="dxa"/>
              <w:bottom w:w="0" w:type="dxa"/>
              <w:right w:w="15" w:type="dxa"/>
            </w:tcMar>
            <w:vAlign w:val="bottom"/>
          </w:tcPr>
          <w:p>
            <w:pPr>
              <w:widowControl/>
              <w:ind w:right="240"/>
              <w:jc w:val="right"/>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定点医疗机构级别</w:t>
            </w:r>
          </w:p>
          <w:p>
            <w:pPr>
              <w:widowControl/>
              <w:ind w:firstLine="1650"/>
              <w:jc w:val="left"/>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分类及标准</w:t>
            </w:r>
          </w:p>
        </w:tc>
        <w:tc>
          <w:tcPr>
            <w:tcW w:w="1388"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三级</w:t>
            </w:r>
          </w:p>
        </w:tc>
        <w:tc>
          <w:tcPr>
            <w:tcW w:w="1391"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二级</w:t>
            </w:r>
          </w:p>
        </w:tc>
        <w:tc>
          <w:tcPr>
            <w:tcW w:w="1237"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一级及以下</w:t>
            </w:r>
          </w:p>
        </w:tc>
      </w:tr>
      <w:tr>
        <w:tblPrEx>
          <w:tblCellMar>
            <w:top w:w="0" w:type="dxa"/>
            <w:left w:w="0" w:type="dxa"/>
            <w:bottom w:w="0" w:type="dxa"/>
            <w:right w:w="0" w:type="dxa"/>
          </w:tblCellMar>
        </w:tblPrEx>
        <w:trPr>
          <w:trHeight w:val="261" w:hRule="atLeast"/>
          <w:jc w:val="center"/>
        </w:trPr>
        <w:tc>
          <w:tcPr>
            <w:tcW w:w="385" w:type="dxa"/>
            <w:vMerge w:val="restart"/>
            <w:tcBorders>
              <w:top w:val="nil"/>
              <w:left w:val="single" w:color="auto" w:sz="8" w:space="0"/>
              <w:right w:val="single" w:color="auto" w:sz="4" w:space="0"/>
            </w:tcBorders>
            <w:tcMar>
              <w:top w:w="15" w:type="dxa"/>
              <w:left w:w="15" w:type="dxa"/>
              <w:bottom w:w="0" w:type="dxa"/>
              <w:right w:w="15"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基本医疗保险</w:t>
            </w:r>
          </w:p>
        </w:tc>
        <w:tc>
          <w:tcPr>
            <w:tcW w:w="397" w:type="dxa"/>
            <w:gridSpan w:val="2"/>
            <w:vMerge w:val="restart"/>
            <w:tcBorders>
              <w:top w:val="nil"/>
              <w:left w:val="single" w:color="auto" w:sz="4" w:space="0"/>
              <w:bottom w:val="single" w:color="auto" w:sz="8" w:space="0"/>
              <w:right w:val="single" w:color="auto" w:sz="8" w:space="0"/>
            </w:tcBorders>
            <w:vAlign w:val="center"/>
          </w:tcPr>
          <w:p>
            <w:pPr>
              <w:widowControl/>
              <w:jc w:val="center"/>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门</w:t>
            </w:r>
          </w:p>
          <w:p>
            <w:pPr>
              <w:widowControl/>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诊</w:t>
            </w:r>
          </w:p>
        </w:tc>
        <w:tc>
          <w:tcPr>
            <w:tcW w:w="924" w:type="dxa"/>
            <w:gridSpan w:val="2"/>
            <w:vMerge w:val="restart"/>
            <w:tcBorders>
              <w:top w:val="nil"/>
              <w:left w:val="nil"/>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（1）</w:t>
            </w:r>
            <w:r>
              <w:rPr>
                <w:rFonts w:hint="eastAsia" w:cs="宋体" w:asciiTheme="minorEastAsia" w:hAnsiTheme="minorEastAsia"/>
                <w:bCs/>
                <w:color w:val="auto"/>
                <w:kern w:val="0"/>
                <w:sz w:val="24"/>
                <w:szCs w:val="24"/>
              </w:rPr>
              <w:br w:type="textWrapping"/>
            </w:r>
            <w:r>
              <w:rPr>
                <w:rFonts w:hint="eastAsia" w:cs="宋体" w:asciiTheme="minorEastAsia" w:hAnsiTheme="minorEastAsia"/>
                <w:bCs/>
                <w:color w:val="auto"/>
                <w:kern w:val="0"/>
                <w:sz w:val="24"/>
                <w:szCs w:val="24"/>
              </w:rPr>
              <w:t>个人支付部分</w:t>
            </w:r>
          </w:p>
        </w:tc>
        <w:tc>
          <w:tcPr>
            <w:tcW w:w="2725"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个人账户资金</w:t>
            </w: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在职</w:t>
            </w:r>
          </w:p>
        </w:tc>
        <w:tc>
          <w:tcPr>
            <w:tcW w:w="4016" w:type="dxa"/>
            <w:gridSpan w:val="3"/>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先用完为止</w:t>
            </w:r>
          </w:p>
        </w:tc>
      </w:tr>
      <w:tr>
        <w:tblPrEx>
          <w:tblCellMar>
            <w:top w:w="0" w:type="dxa"/>
            <w:left w:w="0" w:type="dxa"/>
            <w:bottom w:w="0" w:type="dxa"/>
            <w:right w:w="0" w:type="dxa"/>
          </w:tblCellMar>
        </w:tblPrEx>
        <w:trPr>
          <w:trHeight w:val="266"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left w:val="nil"/>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070" w:type="dxa"/>
            <w:gridSpan w:val="2"/>
            <w:tcBorders>
              <w:top w:val="nil"/>
              <w:left w:val="nil"/>
              <w:bottom w:val="single" w:color="auto" w:sz="4"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退休</w:t>
            </w:r>
          </w:p>
        </w:tc>
        <w:tc>
          <w:tcPr>
            <w:tcW w:w="4016" w:type="dxa"/>
            <w:gridSpan w:val="3"/>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r>
      <w:tr>
        <w:tblPrEx>
          <w:tblCellMar>
            <w:top w:w="0" w:type="dxa"/>
            <w:left w:w="0" w:type="dxa"/>
            <w:bottom w:w="0" w:type="dxa"/>
            <w:right w:w="0" w:type="dxa"/>
          </w:tblCellMar>
        </w:tblPrEx>
        <w:trPr>
          <w:trHeight w:val="250"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left w:val="nil"/>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restart"/>
            <w:tcBorders>
              <w:top w:val="nil"/>
              <w:left w:val="nil"/>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起付标准</w:t>
            </w:r>
          </w:p>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（现金或健康账户支付）</w:t>
            </w:r>
          </w:p>
        </w:tc>
        <w:tc>
          <w:tcPr>
            <w:tcW w:w="2070" w:type="dxa"/>
            <w:gridSpan w:val="2"/>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在职</w:t>
            </w:r>
          </w:p>
        </w:tc>
        <w:tc>
          <w:tcPr>
            <w:tcW w:w="4016" w:type="dxa"/>
            <w:gridSpan w:val="3"/>
            <w:vMerge w:val="restart"/>
            <w:tcBorders>
              <w:top w:val="nil"/>
              <w:left w:val="nil"/>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500元</w:t>
            </w:r>
          </w:p>
        </w:tc>
      </w:tr>
      <w:tr>
        <w:tblPrEx>
          <w:tblCellMar>
            <w:top w:w="0" w:type="dxa"/>
            <w:left w:w="0" w:type="dxa"/>
            <w:bottom w:w="0" w:type="dxa"/>
            <w:right w:w="0" w:type="dxa"/>
          </w:tblCellMar>
        </w:tblPrEx>
        <w:trPr>
          <w:trHeight w:val="268"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continue"/>
            <w:tcBorders>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bCs/>
                <w:color w:val="auto"/>
                <w:kern w:val="0"/>
                <w:sz w:val="24"/>
                <w:szCs w:val="24"/>
              </w:rPr>
            </w:pPr>
          </w:p>
        </w:tc>
        <w:tc>
          <w:tcPr>
            <w:tcW w:w="2070" w:type="dxa"/>
            <w:gridSpan w:val="2"/>
            <w:tcBorders>
              <w:top w:val="single" w:color="auto" w:sz="4" w:space="0"/>
              <w:left w:val="nil"/>
              <w:bottom w:val="single" w:color="auto" w:sz="8" w:space="0"/>
              <w:right w:val="single" w:color="auto" w:sz="8" w:space="0"/>
            </w:tcBorders>
            <w:tcMar>
              <w:top w:w="15" w:type="dxa"/>
              <w:left w:w="15" w:type="dxa"/>
              <w:bottom w:w="0" w:type="dxa"/>
              <w:right w:w="15" w:type="dxa"/>
            </w:tcMar>
            <w:vAlign w:val="center"/>
          </w:tcPr>
          <w:p>
            <w:pPr>
              <w:adjustRightInd w:val="0"/>
              <w:snapToGrid w:val="0"/>
              <w:jc w:val="center"/>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退休</w:t>
            </w:r>
          </w:p>
        </w:tc>
        <w:tc>
          <w:tcPr>
            <w:tcW w:w="4016" w:type="dxa"/>
            <w:gridSpan w:val="3"/>
            <w:vMerge w:val="continue"/>
            <w:tcBorders>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bCs/>
                <w:color w:val="auto"/>
                <w:kern w:val="0"/>
                <w:sz w:val="24"/>
                <w:szCs w:val="24"/>
              </w:rPr>
            </w:pPr>
          </w:p>
        </w:tc>
      </w:tr>
      <w:tr>
        <w:tblPrEx>
          <w:tblCellMar>
            <w:top w:w="0" w:type="dxa"/>
            <w:left w:w="0" w:type="dxa"/>
            <w:bottom w:w="0" w:type="dxa"/>
            <w:right w:w="0" w:type="dxa"/>
          </w:tblCellMar>
        </w:tblPrEx>
        <w:trPr>
          <w:trHeight w:val="263"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（2）</w:t>
            </w:r>
            <w:r>
              <w:rPr>
                <w:rFonts w:hint="eastAsia" w:cs="宋体" w:asciiTheme="minorEastAsia" w:hAnsiTheme="minorEastAsia"/>
                <w:bCs/>
                <w:color w:val="auto"/>
                <w:kern w:val="0"/>
                <w:sz w:val="24"/>
                <w:szCs w:val="24"/>
              </w:rPr>
              <w:br w:type="textWrapping"/>
            </w:r>
            <w:r>
              <w:rPr>
                <w:rFonts w:hint="eastAsia" w:cs="宋体" w:asciiTheme="minorEastAsia" w:hAnsiTheme="minorEastAsia"/>
                <w:bCs/>
                <w:color w:val="auto"/>
                <w:kern w:val="0"/>
                <w:sz w:val="24"/>
                <w:szCs w:val="24"/>
              </w:rPr>
              <w:t>统筹基金报销比例</w:t>
            </w:r>
          </w:p>
        </w:tc>
        <w:tc>
          <w:tcPr>
            <w:tcW w:w="2725" w:type="dxa"/>
            <w:vMerge w:val="restart"/>
            <w:tcBorders>
              <w:top w:val="nil"/>
              <w:left w:val="nil"/>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起付标准以上～5000元</w:t>
            </w: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在职</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72%</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77%</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92%</w:t>
            </w:r>
          </w:p>
        </w:tc>
      </w:tr>
      <w:tr>
        <w:tblPrEx>
          <w:tblCellMar>
            <w:top w:w="0" w:type="dxa"/>
            <w:left w:w="0" w:type="dxa"/>
            <w:bottom w:w="0" w:type="dxa"/>
            <w:right w:w="0" w:type="dxa"/>
          </w:tblCellMar>
        </w:tblPrEx>
        <w:trPr>
          <w:trHeight w:val="254"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continue"/>
            <w:tcBorders>
              <w:left w:val="nil"/>
              <w:bottom w:val="single" w:color="auto" w:sz="4"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退休</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86%</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88.5%</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96%</w:t>
            </w:r>
          </w:p>
        </w:tc>
      </w:tr>
      <w:tr>
        <w:tblPrEx>
          <w:tblCellMar>
            <w:top w:w="0" w:type="dxa"/>
            <w:left w:w="0" w:type="dxa"/>
            <w:bottom w:w="0" w:type="dxa"/>
            <w:right w:w="0" w:type="dxa"/>
          </w:tblCellMar>
        </w:tblPrEx>
        <w:trPr>
          <w:trHeight w:val="271"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restart"/>
            <w:tcBorders>
              <w:top w:val="single" w:color="auto" w:sz="4" w:space="0"/>
              <w:left w:val="nil"/>
              <w:right w:val="single" w:color="auto" w:sz="8" w:space="0"/>
            </w:tcBorders>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5000～10000元以下</w:t>
            </w: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在职</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85%</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90%</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96%</w:t>
            </w:r>
          </w:p>
        </w:tc>
      </w:tr>
      <w:tr>
        <w:tblPrEx>
          <w:tblCellMar>
            <w:top w:w="0" w:type="dxa"/>
            <w:left w:w="0" w:type="dxa"/>
            <w:bottom w:w="0" w:type="dxa"/>
            <w:right w:w="0" w:type="dxa"/>
          </w:tblCellMar>
        </w:tblPrEx>
        <w:trPr>
          <w:trHeight w:val="262"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continue"/>
            <w:tcBorders>
              <w:left w:val="nil"/>
              <w:bottom w:val="single" w:color="auto" w:sz="4"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退休</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92.5%</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95%</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98%</w:t>
            </w:r>
          </w:p>
        </w:tc>
      </w:tr>
      <w:tr>
        <w:tblPrEx>
          <w:tblCellMar>
            <w:top w:w="0" w:type="dxa"/>
            <w:left w:w="0" w:type="dxa"/>
            <w:bottom w:w="0" w:type="dxa"/>
            <w:right w:w="0" w:type="dxa"/>
          </w:tblCellMar>
        </w:tblPrEx>
        <w:trPr>
          <w:trHeight w:val="252"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restart"/>
            <w:tcBorders>
              <w:top w:val="single" w:color="auto" w:sz="4" w:space="0"/>
              <w:left w:val="nil"/>
              <w:right w:val="single" w:color="auto" w:sz="8" w:space="0"/>
            </w:tcBorders>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≥10000元</w:t>
            </w: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在职</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90%</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93%</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98%</w:t>
            </w:r>
          </w:p>
        </w:tc>
      </w:tr>
      <w:tr>
        <w:tblPrEx>
          <w:tblCellMar>
            <w:top w:w="0" w:type="dxa"/>
            <w:left w:w="0" w:type="dxa"/>
            <w:bottom w:w="0" w:type="dxa"/>
            <w:right w:w="0" w:type="dxa"/>
          </w:tblCellMar>
        </w:tblPrEx>
        <w:trPr>
          <w:trHeight w:val="269"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continue"/>
            <w:tcBorders>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退休</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95%</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96.5%</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99%</w:t>
            </w:r>
          </w:p>
        </w:tc>
      </w:tr>
      <w:tr>
        <w:tblPrEx>
          <w:tblCellMar>
            <w:top w:w="0" w:type="dxa"/>
            <w:left w:w="0" w:type="dxa"/>
            <w:bottom w:w="0" w:type="dxa"/>
            <w:right w:w="0" w:type="dxa"/>
          </w:tblCellMar>
        </w:tblPrEx>
        <w:trPr>
          <w:trHeight w:val="273" w:hRule="atLeast"/>
          <w:jc w:val="center"/>
        </w:trPr>
        <w:tc>
          <w:tcPr>
            <w:tcW w:w="385" w:type="dxa"/>
            <w:vMerge w:val="continue"/>
            <w:tcBorders>
              <w:left w:val="single" w:color="auto" w:sz="8" w:space="0"/>
              <w:right w:val="single" w:color="auto" w:sz="4" w:space="0"/>
            </w:tcBorders>
            <w:tcMar>
              <w:top w:w="15" w:type="dxa"/>
              <w:left w:w="15" w:type="dxa"/>
              <w:bottom w:w="0" w:type="dxa"/>
              <w:right w:w="15" w:type="dxa"/>
            </w:tcMar>
            <w:vAlign w:val="center"/>
          </w:tcPr>
          <w:p>
            <w:pPr>
              <w:widowControl/>
              <w:jc w:val="center"/>
              <w:rPr>
                <w:rFonts w:cs="宋体" w:asciiTheme="minorEastAsia" w:hAnsiTheme="minorEastAsia"/>
                <w:color w:val="auto"/>
                <w:kern w:val="0"/>
                <w:sz w:val="24"/>
                <w:szCs w:val="24"/>
              </w:rPr>
            </w:pPr>
          </w:p>
        </w:tc>
        <w:tc>
          <w:tcPr>
            <w:tcW w:w="397" w:type="dxa"/>
            <w:gridSpan w:val="2"/>
            <w:vMerge w:val="restart"/>
            <w:tcBorders>
              <w:top w:val="nil"/>
              <w:left w:val="single" w:color="auto" w:sz="4" w:space="0"/>
              <w:bottom w:val="single" w:color="auto" w:sz="8" w:space="0"/>
              <w:right w:val="single" w:color="auto" w:sz="8" w:space="0"/>
            </w:tcBorders>
            <w:vAlign w:val="center"/>
          </w:tcPr>
          <w:p>
            <w:pPr>
              <w:widowControl/>
              <w:jc w:val="center"/>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住</w:t>
            </w:r>
          </w:p>
          <w:p>
            <w:pPr>
              <w:widowControl/>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院</w:t>
            </w:r>
          </w:p>
        </w:tc>
        <w:tc>
          <w:tcPr>
            <w:tcW w:w="924" w:type="dxa"/>
            <w:gridSpan w:val="2"/>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（1）</w:t>
            </w:r>
            <w:r>
              <w:rPr>
                <w:rFonts w:hint="eastAsia" w:cs="宋体" w:asciiTheme="minorEastAsia" w:hAnsiTheme="minorEastAsia"/>
                <w:bCs/>
                <w:color w:val="auto"/>
                <w:kern w:val="0"/>
                <w:sz w:val="24"/>
                <w:szCs w:val="24"/>
              </w:rPr>
              <w:br w:type="textWrapping"/>
            </w:r>
            <w:r>
              <w:rPr>
                <w:rFonts w:hint="eastAsia" w:cs="宋体" w:asciiTheme="minorEastAsia" w:hAnsiTheme="minorEastAsia"/>
                <w:bCs/>
                <w:color w:val="auto"/>
                <w:kern w:val="0"/>
                <w:sz w:val="24"/>
                <w:szCs w:val="24"/>
              </w:rPr>
              <w:t>个人支付部分</w:t>
            </w:r>
          </w:p>
        </w:tc>
        <w:tc>
          <w:tcPr>
            <w:tcW w:w="2725" w:type="dxa"/>
            <w:vMerge w:val="restart"/>
            <w:tcBorders>
              <w:top w:val="nil"/>
              <w:left w:val="nil"/>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起付标准</w:t>
            </w:r>
          </w:p>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（现金或个人账户或健康账户支付）</w:t>
            </w:r>
          </w:p>
        </w:tc>
        <w:tc>
          <w:tcPr>
            <w:tcW w:w="850"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首次</w:t>
            </w:r>
          </w:p>
        </w:tc>
        <w:tc>
          <w:tcPr>
            <w:tcW w:w="122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在职</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1000元</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600元</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200元</w:t>
            </w:r>
          </w:p>
        </w:tc>
      </w:tr>
      <w:tr>
        <w:tblPrEx>
          <w:tblCellMar>
            <w:top w:w="0" w:type="dxa"/>
            <w:left w:w="0" w:type="dxa"/>
            <w:bottom w:w="0" w:type="dxa"/>
            <w:right w:w="0" w:type="dxa"/>
          </w:tblCellMar>
        </w:tblPrEx>
        <w:trPr>
          <w:trHeight w:val="250"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continue"/>
            <w:tcBorders>
              <w:left w:val="nil"/>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850" w:type="dxa"/>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122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退休</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500元</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300元</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100元</w:t>
            </w:r>
          </w:p>
        </w:tc>
      </w:tr>
      <w:tr>
        <w:tblPrEx>
          <w:tblCellMar>
            <w:top w:w="0" w:type="dxa"/>
            <w:left w:w="0" w:type="dxa"/>
            <w:bottom w:w="0" w:type="dxa"/>
            <w:right w:w="0" w:type="dxa"/>
          </w:tblCellMar>
        </w:tblPrEx>
        <w:trPr>
          <w:trHeight w:val="267"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continue"/>
            <w:tcBorders>
              <w:left w:val="nil"/>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850"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二次及</w:t>
            </w:r>
            <w:r>
              <w:rPr>
                <w:rFonts w:hint="eastAsia" w:cs="宋体" w:asciiTheme="minorEastAsia" w:hAnsiTheme="minorEastAsia"/>
                <w:bCs/>
                <w:color w:val="auto"/>
                <w:kern w:val="0"/>
                <w:sz w:val="24"/>
                <w:szCs w:val="24"/>
              </w:rPr>
              <w:br w:type="textWrapping"/>
            </w:r>
            <w:r>
              <w:rPr>
                <w:rFonts w:hint="eastAsia" w:cs="宋体" w:asciiTheme="minorEastAsia" w:hAnsiTheme="minorEastAsia"/>
                <w:bCs/>
                <w:color w:val="auto"/>
                <w:kern w:val="0"/>
                <w:sz w:val="24"/>
                <w:szCs w:val="24"/>
              </w:rPr>
              <w:t>以上</w:t>
            </w:r>
          </w:p>
        </w:tc>
        <w:tc>
          <w:tcPr>
            <w:tcW w:w="122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在职</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500元</w:t>
            </w:r>
          </w:p>
        </w:tc>
        <w:tc>
          <w:tcPr>
            <w:tcW w:w="1391" w:type="dxa"/>
            <w:tcBorders>
              <w:top w:val="nil"/>
              <w:left w:val="nil"/>
              <w:bottom w:val="single" w:color="auto" w:sz="8" w:space="0"/>
              <w:right w:val="single" w:color="auto" w:sz="8" w:space="0"/>
            </w:tcBorders>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300元</w:t>
            </w:r>
          </w:p>
        </w:tc>
        <w:tc>
          <w:tcPr>
            <w:tcW w:w="1237" w:type="dxa"/>
            <w:tcBorders>
              <w:top w:val="nil"/>
              <w:left w:val="nil"/>
              <w:bottom w:val="single" w:color="auto" w:sz="8" w:space="0"/>
              <w:right w:val="single" w:color="auto" w:sz="8" w:space="0"/>
            </w:tcBorders>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100元</w:t>
            </w:r>
          </w:p>
        </w:tc>
      </w:tr>
      <w:tr>
        <w:tblPrEx>
          <w:tblCellMar>
            <w:top w:w="0" w:type="dxa"/>
            <w:left w:w="0" w:type="dxa"/>
            <w:bottom w:w="0" w:type="dxa"/>
            <w:right w:w="0" w:type="dxa"/>
          </w:tblCellMar>
        </w:tblPrEx>
        <w:trPr>
          <w:trHeight w:val="271"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continue"/>
            <w:tcBorders>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850" w:type="dxa"/>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122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退休</w:t>
            </w:r>
          </w:p>
        </w:tc>
        <w:tc>
          <w:tcPr>
            <w:tcW w:w="1388" w:type="dxa"/>
            <w:tcBorders>
              <w:top w:val="nil"/>
              <w:left w:val="nil"/>
              <w:bottom w:val="single" w:color="auto" w:sz="8" w:space="0"/>
              <w:right w:val="single" w:color="auto" w:sz="8" w:space="0"/>
            </w:tcBorders>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250元</w:t>
            </w:r>
          </w:p>
        </w:tc>
        <w:tc>
          <w:tcPr>
            <w:tcW w:w="1391" w:type="dxa"/>
            <w:tcBorders>
              <w:top w:val="nil"/>
              <w:left w:val="nil"/>
              <w:bottom w:val="single" w:color="auto" w:sz="8" w:space="0"/>
              <w:right w:val="single" w:color="auto" w:sz="8" w:space="0"/>
            </w:tcBorders>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150元</w:t>
            </w:r>
          </w:p>
        </w:tc>
        <w:tc>
          <w:tcPr>
            <w:tcW w:w="1237" w:type="dxa"/>
            <w:tcBorders>
              <w:top w:val="nil"/>
              <w:left w:val="nil"/>
              <w:bottom w:val="single" w:color="auto" w:sz="8" w:space="0"/>
              <w:right w:val="single" w:color="auto" w:sz="8" w:space="0"/>
            </w:tcBorders>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50元</w:t>
            </w:r>
          </w:p>
        </w:tc>
      </w:tr>
      <w:tr>
        <w:tblPrEx>
          <w:tblCellMar>
            <w:top w:w="0" w:type="dxa"/>
            <w:left w:w="0" w:type="dxa"/>
            <w:bottom w:w="0" w:type="dxa"/>
            <w:right w:w="0" w:type="dxa"/>
          </w:tblCellMar>
        </w:tblPrEx>
        <w:trPr>
          <w:trHeight w:val="262"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（2）</w:t>
            </w:r>
          </w:p>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统筹基金报销比例</w:t>
            </w:r>
          </w:p>
        </w:tc>
        <w:tc>
          <w:tcPr>
            <w:tcW w:w="2725" w:type="dxa"/>
            <w:vMerge w:val="restart"/>
            <w:tcBorders>
              <w:top w:val="nil"/>
              <w:left w:val="nil"/>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起付标准以上～10000元</w:t>
            </w: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在职</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85%</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89%</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93%</w:t>
            </w:r>
          </w:p>
        </w:tc>
      </w:tr>
      <w:tr>
        <w:tblPrEx>
          <w:tblCellMar>
            <w:top w:w="0" w:type="dxa"/>
            <w:left w:w="0" w:type="dxa"/>
            <w:bottom w:w="0" w:type="dxa"/>
            <w:right w:w="0" w:type="dxa"/>
          </w:tblCellMar>
        </w:tblPrEx>
        <w:trPr>
          <w:trHeight w:val="266"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continue"/>
            <w:tcBorders>
              <w:left w:val="nil"/>
              <w:bottom w:val="single" w:color="auto" w:sz="4"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退休</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93%</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95%</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97%</w:t>
            </w:r>
          </w:p>
        </w:tc>
      </w:tr>
      <w:tr>
        <w:tblPrEx>
          <w:tblCellMar>
            <w:top w:w="0" w:type="dxa"/>
            <w:left w:w="0" w:type="dxa"/>
            <w:bottom w:w="0" w:type="dxa"/>
            <w:right w:w="0" w:type="dxa"/>
          </w:tblCellMar>
        </w:tblPrEx>
        <w:trPr>
          <w:trHeight w:val="255"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restart"/>
            <w:tcBorders>
              <w:top w:val="single" w:color="auto" w:sz="4" w:space="0"/>
              <w:left w:val="nil"/>
              <w:right w:val="single" w:color="auto" w:sz="8" w:space="0"/>
            </w:tcBorders>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10000～20000元以下</w:t>
            </w: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在职</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93%</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95%</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97%</w:t>
            </w:r>
          </w:p>
        </w:tc>
      </w:tr>
      <w:tr>
        <w:tblPrEx>
          <w:tblCellMar>
            <w:top w:w="0" w:type="dxa"/>
            <w:left w:w="0" w:type="dxa"/>
            <w:bottom w:w="0" w:type="dxa"/>
            <w:right w:w="0" w:type="dxa"/>
          </w:tblCellMar>
        </w:tblPrEx>
        <w:trPr>
          <w:trHeight w:val="260"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continue"/>
            <w:tcBorders>
              <w:left w:val="nil"/>
              <w:bottom w:val="single" w:color="auto" w:sz="4"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退休</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97%</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98%</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99%</w:t>
            </w:r>
          </w:p>
        </w:tc>
      </w:tr>
      <w:tr>
        <w:tblPrEx>
          <w:tblCellMar>
            <w:top w:w="0" w:type="dxa"/>
            <w:left w:w="0" w:type="dxa"/>
            <w:bottom w:w="0" w:type="dxa"/>
            <w:right w:w="0" w:type="dxa"/>
          </w:tblCellMar>
        </w:tblPrEx>
        <w:trPr>
          <w:trHeight w:val="277"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restart"/>
            <w:tcBorders>
              <w:top w:val="single" w:color="auto" w:sz="4" w:space="0"/>
              <w:left w:val="nil"/>
              <w:right w:val="single" w:color="auto" w:sz="8" w:space="0"/>
            </w:tcBorders>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≥20000元</w:t>
            </w: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在职</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95%</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97%</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99%</w:t>
            </w:r>
          </w:p>
        </w:tc>
      </w:tr>
      <w:tr>
        <w:tblPrEx>
          <w:tblCellMar>
            <w:top w:w="0" w:type="dxa"/>
            <w:left w:w="0" w:type="dxa"/>
            <w:bottom w:w="0" w:type="dxa"/>
            <w:right w:w="0" w:type="dxa"/>
          </w:tblCellMar>
        </w:tblPrEx>
        <w:trPr>
          <w:trHeight w:val="254" w:hRule="atLeast"/>
          <w:jc w:val="center"/>
        </w:trPr>
        <w:tc>
          <w:tcPr>
            <w:tcW w:w="385" w:type="dxa"/>
            <w:vMerge w:val="continue"/>
            <w:tcBorders>
              <w:left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397" w:type="dxa"/>
            <w:gridSpan w:val="2"/>
            <w:vMerge w:val="continue"/>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p>
        </w:tc>
        <w:tc>
          <w:tcPr>
            <w:tcW w:w="924" w:type="dxa"/>
            <w:gridSpan w:val="2"/>
            <w:vMerge w:val="continue"/>
            <w:tcBorders>
              <w:top w:val="nil"/>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725" w:type="dxa"/>
            <w:vMerge w:val="continue"/>
            <w:tcBorders>
              <w:left w:val="nil"/>
              <w:bottom w:val="single" w:color="auto" w:sz="8" w:space="0"/>
              <w:right w:val="single" w:color="auto" w:sz="8" w:space="0"/>
            </w:tcBorders>
            <w:vAlign w:val="center"/>
          </w:tcPr>
          <w:p>
            <w:pPr>
              <w:widowControl/>
              <w:adjustRightInd w:val="0"/>
              <w:snapToGrid w:val="0"/>
              <w:jc w:val="left"/>
              <w:rPr>
                <w:rFonts w:cs="宋体" w:asciiTheme="minorEastAsia" w:hAnsiTheme="minorEastAsia"/>
                <w:color w:val="auto"/>
                <w:kern w:val="0"/>
                <w:sz w:val="24"/>
                <w:szCs w:val="24"/>
              </w:rPr>
            </w:pPr>
          </w:p>
        </w:tc>
        <w:tc>
          <w:tcPr>
            <w:tcW w:w="207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退休</w:t>
            </w:r>
          </w:p>
        </w:tc>
        <w:tc>
          <w:tcPr>
            <w:tcW w:w="1388"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98%</w:t>
            </w:r>
          </w:p>
        </w:tc>
        <w:tc>
          <w:tcPr>
            <w:tcW w:w="139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99%</w:t>
            </w:r>
          </w:p>
        </w:tc>
        <w:tc>
          <w:tcPr>
            <w:tcW w:w="123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100%</w:t>
            </w:r>
          </w:p>
        </w:tc>
      </w:tr>
      <w:tr>
        <w:tblPrEx>
          <w:tblCellMar>
            <w:top w:w="0" w:type="dxa"/>
            <w:left w:w="0" w:type="dxa"/>
            <w:bottom w:w="0" w:type="dxa"/>
            <w:right w:w="0" w:type="dxa"/>
          </w:tblCellMar>
        </w:tblPrEx>
        <w:trPr>
          <w:trHeight w:val="254" w:hRule="atLeast"/>
          <w:jc w:val="center"/>
        </w:trPr>
        <w:tc>
          <w:tcPr>
            <w:tcW w:w="385" w:type="dxa"/>
            <w:vMerge w:val="continue"/>
            <w:tcBorders>
              <w:left w:val="single" w:color="auto" w:sz="8" w:space="0"/>
              <w:bottom w:val="single" w:color="auto" w:sz="8" w:space="0"/>
              <w:right w:val="single" w:color="auto" w:sz="4" w:space="0"/>
            </w:tcBorders>
            <w:vAlign w:val="center"/>
          </w:tcPr>
          <w:p>
            <w:pPr>
              <w:widowControl/>
              <w:jc w:val="left"/>
              <w:rPr>
                <w:rFonts w:cs="宋体" w:asciiTheme="minorEastAsia" w:hAnsiTheme="minorEastAsia"/>
                <w:color w:val="auto"/>
                <w:kern w:val="0"/>
                <w:sz w:val="24"/>
                <w:szCs w:val="24"/>
              </w:rPr>
            </w:pPr>
          </w:p>
        </w:tc>
        <w:tc>
          <w:tcPr>
            <w:tcW w:w="4046" w:type="dxa"/>
            <w:gridSpan w:val="5"/>
            <w:tcBorders>
              <w:top w:val="nil"/>
              <w:left w:val="single" w:color="auto" w:sz="4" w:space="0"/>
              <w:bottom w:val="single" w:color="auto" w:sz="8" w:space="0"/>
              <w:right w:val="single" w:color="auto" w:sz="8" w:space="0"/>
            </w:tcBorders>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最高支付限额</w:t>
            </w:r>
          </w:p>
        </w:tc>
        <w:tc>
          <w:tcPr>
            <w:tcW w:w="6086" w:type="dxa"/>
            <w:gridSpan w:val="5"/>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bCs/>
                <w:color w:val="auto"/>
                <w:kern w:val="0"/>
                <w:sz w:val="24"/>
                <w:szCs w:val="24"/>
              </w:rPr>
            </w:pPr>
            <w:r>
              <w:rPr>
                <w:rFonts w:hint="eastAsia" w:cs="宋体" w:asciiTheme="minorEastAsia" w:hAnsiTheme="minorEastAsia"/>
                <w:color w:val="auto"/>
                <w:kern w:val="0"/>
                <w:sz w:val="24"/>
                <w:szCs w:val="24"/>
              </w:rPr>
              <w:t>门诊和住院合计10万元</w:t>
            </w:r>
          </w:p>
        </w:tc>
      </w:tr>
      <w:tr>
        <w:tblPrEx>
          <w:tblCellMar>
            <w:top w:w="0" w:type="dxa"/>
            <w:left w:w="0" w:type="dxa"/>
            <w:bottom w:w="0" w:type="dxa"/>
            <w:right w:w="0" w:type="dxa"/>
          </w:tblCellMar>
        </w:tblPrEx>
        <w:trPr>
          <w:trHeight w:val="442" w:hRule="atLeast"/>
          <w:jc w:val="center"/>
        </w:trPr>
        <w:tc>
          <w:tcPr>
            <w:tcW w:w="792" w:type="dxa"/>
            <w:gridSpan w:val="4"/>
            <w:vMerge w:val="restart"/>
            <w:tcBorders>
              <w:left w:val="single" w:color="auto" w:sz="8" w:space="0"/>
              <w:right w:val="single" w:color="auto" w:sz="4" w:space="0"/>
            </w:tcBorders>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大病</w:t>
            </w:r>
          </w:p>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医疗</w:t>
            </w:r>
          </w:p>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保险</w:t>
            </w:r>
          </w:p>
        </w:tc>
        <w:tc>
          <w:tcPr>
            <w:tcW w:w="5709" w:type="dxa"/>
            <w:gridSpan w:val="4"/>
            <w:tcBorders>
              <w:left w:val="single" w:color="auto" w:sz="4" w:space="0"/>
              <w:bottom w:val="single" w:color="auto" w:sz="4" w:space="0"/>
              <w:right w:val="single" w:color="auto" w:sz="8" w:space="0"/>
            </w:tcBorders>
            <w:vAlign w:val="center"/>
          </w:tcPr>
          <w:p>
            <w:pPr>
              <w:widowControl/>
              <w:adjustRightInd w:val="0"/>
              <w:snapToGrid w:val="0"/>
              <w:jc w:val="center"/>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起付标准</w:t>
            </w:r>
          </w:p>
          <w:p>
            <w:pPr>
              <w:widowControl/>
              <w:adjustRightInd w:val="0"/>
              <w:snapToGrid w:val="0"/>
              <w:jc w:val="center"/>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（现金或个人账户或健康账户支付）</w:t>
            </w:r>
          </w:p>
        </w:tc>
        <w:tc>
          <w:tcPr>
            <w:tcW w:w="401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val="0"/>
              <w:snapToGrid w:val="0"/>
              <w:jc w:val="center"/>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1万元</w:t>
            </w:r>
          </w:p>
        </w:tc>
      </w:tr>
      <w:tr>
        <w:tblPrEx>
          <w:tblCellMar>
            <w:top w:w="0" w:type="dxa"/>
            <w:left w:w="0" w:type="dxa"/>
            <w:bottom w:w="0" w:type="dxa"/>
            <w:right w:w="0" w:type="dxa"/>
          </w:tblCellMar>
        </w:tblPrEx>
        <w:trPr>
          <w:trHeight w:val="303" w:hRule="atLeast"/>
          <w:jc w:val="center"/>
        </w:trPr>
        <w:tc>
          <w:tcPr>
            <w:tcW w:w="792" w:type="dxa"/>
            <w:gridSpan w:val="4"/>
            <w:vMerge w:val="continue"/>
            <w:tcBorders>
              <w:left w:val="single" w:color="auto" w:sz="8" w:space="0"/>
              <w:right w:val="single" w:color="auto" w:sz="4" w:space="0"/>
            </w:tcBorders>
            <w:vAlign w:val="center"/>
          </w:tcPr>
          <w:p>
            <w:pPr>
              <w:widowControl/>
              <w:adjustRightInd w:val="0"/>
              <w:snapToGrid w:val="0"/>
              <w:jc w:val="left"/>
              <w:rPr>
                <w:rFonts w:cs="宋体" w:asciiTheme="minorEastAsia" w:hAnsiTheme="minorEastAsia"/>
                <w:color w:val="auto"/>
                <w:kern w:val="0"/>
                <w:sz w:val="24"/>
                <w:szCs w:val="24"/>
              </w:rPr>
            </w:pPr>
          </w:p>
        </w:tc>
        <w:tc>
          <w:tcPr>
            <w:tcW w:w="5709" w:type="dxa"/>
            <w:gridSpan w:val="4"/>
            <w:tcBorders>
              <w:top w:val="single" w:color="auto" w:sz="4" w:space="0"/>
              <w:left w:val="single" w:color="auto" w:sz="4" w:space="0"/>
              <w:bottom w:val="single" w:color="auto" w:sz="4" w:space="0"/>
              <w:right w:val="single" w:color="auto" w:sz="8" w:space="0"/>
            </w:tcBorders>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1万元～10万元（含）</w:t>
            </w:r>
          </w:p>
        </w:tc>
        <w:tc>
          <w:tcPr>
            <w:tcW w:w="401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75%</w:t>
            </w:r>
          </w:p>
        </w:tc>
      </w:tr>
      <w:tr>
        <w:tblPrEx>
          <w:tblCellMar>
            <w:top w:w="0" w:type="dxa"/>
            <w:left w:w="0" w:type="dxa"/>
            <w:bottom w:w="0" w:type="dxa"/>
            <w:right w:w="0" w:type="dxa"/>
          </w:tblCellMar>
        </w:tblPrEx>
        <w:trPr>
          <w:trHeight w:val="339" w:hRule="atLeast"/>
          <w:jc w:val="center"/>
        </w:trPr>
        <w:tc>
          <w:tcPr>
            <w:tcW w:w="792" w:type="dxa"/>
            <w:gridSpan w:val="4"/>
            <w:vMerge w:val="continue"/>
            <w:tcBorders>
              <w:left w:val="single" w:color="auto" w:sz="8" w:space="0"/>
              <w:right w:val="single" w:color="auto" w:sz="4" w:space="0"/>
            </w:tcBorders>
            <w:vAlign w:val="center"/>
          </w:tcPr>
          <w:p>
            <w:pPr>
              <w:widowControl/>
              <w:adjustRightInd w:val="0"/>
              <w:snapToGrid w:val="0"/>
              <w:jc w:val="left"/>
              <w:rPr>
                <w:rFonts w:cs="宋体" w:asciiTheme="minorEastAsia" w:hAnsiTheme="minorEastAsia"/>
                <w:color w:val="auto"/>
                <w:kern w:val="0"/>
                <w:sz w:val="24"/>
                <w:szCs w:val="24"/>
              </w:rPr>
            </w:pPr>
          </w:p>
        </w:tc>
        <w:tc>
          <w:tcPr>
            <w:tcW w:w="5709" w:type="dxa"/>
            <w:gridSpan w:val="4"/>
            <w:tcBorders>
              <w:top w:val="single" w:color="auto" w:sz="4" w:space="0"/>
              <w:left w:val="single" w:color="auto" w:sz="4" w:space="0"/>
              <w:bottom w:val="single" w:color="auto" w:sz="4" w:space="0"/>
              <w:right w:val="single" w:color="auto" w:sz="8" w:space="0"/>
            </w:tcBorders>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10万元～20万元（含）</w:t>
            </w:r>
          </w:p>
        </w:tc>
        <w:tc>
          <w:tcPr>
            <w:tcW w:w="401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85%</w:t>
            </w:r>
          </w:p>
        </w:tc>
      </w:tr>
      <w:tr>
        <w:tblPrEx>
          <w:tblCellMar>
            <w:top w:w="0" w:type="dxa"/>
            <w:left w:w="0" w:type="dxa"/>
            <w:bottom w:w="0" w:type="dxa"/>
            <w:right w:w="0" w:type="dxa"/>
          </w:tblCellMar>
        </w:tblPrEx>
        <w:trPr>
          <w:trHeight w:val="259" w:hRule="atLeast"/>
          <w:jc w:val="center"/>
        </w:trPr>
        <w:tc>
          <w:tcPr>
            <w:tcW w:w="792" w:type="dxa"/>
            <w:gridSpan w:val="4"/>
            <w:vMerge w:val="continue"/>
            <w:tcBorders>
              <w:left w:val="single" w:color="auto" w:sz="8" w:space="0"/>
              <w:right w:val="single" w:color="auto" w:sz="4" w:space="0"/>
            </w:tcBorders>
            <w:vAlign w:val="center"/>
          </w:tcPr>
          <w:p>
            <w:pPr>
              <w:widowControl/>
              <w:adjustRightInd w:val="0"/>
              <w:snapToGrid w:val="0"/>
              <w:jc w:val="left"/>
              <w:rPr>
                <w:rFonts w:cs="宋体" w:asciiTheme="minorEastAsia" w:hAnsiTheme="minorEastAsia"/>
                <w:color w:val="auto"/>
                <w:kern w:val="0"/>
                <w:sz w:val="24"/>
                <w:szCs w:val="24"/>
              </w:rPr>
            </w:pPr>
          </w:p>
        </w:tc>
        <w:tc>
          <w:tcPr>
            <w:tcW w:w="5709" w:type="dxa"/>
            <w:gridSpan w:val="4"/>
            <w:tcBorders>
              <w:top w:val="single" w:color="auto" w:sz="4" w:space="0"/>
              <w:left w:val="single" w:color="auto" w:sz="4" w:space="0"/>
              <w:bottom w:val="single" w:color="auto" w:sz="4" w:space="0"/>
              <w:right w:val="single" w:color="auto" w:sz="8" w:space="0"/>
            </w:tcBorders>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&gt;20万元</w:t>
            </w:r>
          </w:p>
        </w:tc>
        <w:tc>
          <w:tcPr>
            <w:tcW w:w="401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95%</w:t>
            </w:r>
          </w:p>
        </w:tc>
      </w:tr>
      <w:tr>
        <w:tblPrEx>
          <w:tblCellMar>
            <w:top w:w="0" w:type="dxa"/>
            <w:left w:w="0" w:type="dxa"/>
            <w:bottom w:w="0" w:type="dxa"/>
            <w:right w:w="0" w:type="dxa"/>
          </w:tblCellMar>
        </w:tblPrEx>
        <w:trPr>
          <w:trHeight w:val="259" w:hRule="atLeast"/>
          <w:jc w:val="center"/>
        </w:trPr>
        <w:tc>
          <w:tcPr>
            <w:tcW w:w="792" w:type="dxa"/>
            <w:gridSpan w:val="4"/>
            <w:vMerge w:val="continue"/>
            <w:tcBorders>
              <w:left w:val="single" w:color="auto" w:sz="8" w:space="0"/>
              <w:bottom w:val="single" w:color="auto" w:sz="8" w:space="0"/>
              <w:right w:val="single" w:color="auto" w:sz="4" w:space="0"/>
            </w:tcBorders>
            <w:vAlign w:val="center"/>
          </w:tcPr>
          <w:p>
            <w:pPr>
              <w:widowControl/>
              <w:adjustRightInd w:val="0"/>
              <w:snapToGrid w:val="0"/>
              <w:jc w:val="left"/>
              <w:rPr>
                <w:rFonts w:cs="宋体" w:asciiTheme="minorEastAsia" w:hAnsiTheme="minorEastAsia"/>
                <w:color w:val="auto"/>
                <w:kern w:val="0"/>
                <w:sz w:val="24"/>
                <w:szCs w:val="24"/>
              </w:rPr>
            </w:pPr>
          </w:p>
        </w:tc>
        <w:tc>
          <w:tcPr>
            <w:tcW w:w="5709" w:type="dxa"/>
            <w:gridSpan w:val="4"/>
            <w:tcBorders>
              <w:top w:val="single" w:color="auto" w:sz="4" w:space="0"/>
              <w:left w:val="single" w:color="auto" w:sz="4" w:space="0"/>
              <w:bottom w:val="single" w:color="auto" w:sz="8" w:space="0"/>
              <w:right w:val="single" w:color="auto" w:sz="8" w:space="0"/>
            </w:tcBorders>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最高赔付限额</w:t>
            </w:r>
          </w:p>
        </w:tc>
        <w:tc>
          <w:tcPr>
            <w:tcW w:w="401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jc w:val="center"/>
              <w:rPr>
                <w:rFonts w:cs="Times New Roman" w:asciiTheme="minorEastAsia" w:hAnsiTheme="minorEastAsia"/>
                <w:color w:val="auto"/>
                <w:kern w:val="0"/>
                <w:sz w:val="24"/>
                <w:szCs w:val="24"/>
              </w:rPr>
            </w:pPr>
            <w:r>
              <w:rPr>
                <w:rFonts w:hint="eastAsia" w:cs="宋体" w:asciiTheme="minorEastAsia" w:hAnsiTheme="minorEastAsia"/>
                <w:color w:val="auto"/>
                <w:kern w:val="0"/>
                <w:sz w:val="24"/>
                <w:szCs w:val="24"/>
              </w:rPr>
              <w:t>门诊和住院合计50万元</w:t>
            </w:r>
          </w:p>
        </w:tc>
      </w:tr>
      <w:tr>
        <w:tblPrEx>
          <w:tblCellMar>
            <w:top w:w="0" w:type="dxa"/>
            <w:left w:w="0" w:type="dxa"/>
            <w:bottom w:w="0" w:type="dxa"/>
            <w:right w:w="0" w:type="dxa"/>
          </w:tblCellMar>
        </w:tblPrEx>
        <w:trPr>
          <w:trHeight w:val="551" w:hRule="atLeast"/>
          <w:jc w:val="center"/>
        </w:trPr>
        <w:tc>
          <w:tcPr>
            <w:tcW w:w="1706" w:type="dxa"/>
            <w:gridSpan w:val="5"/>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健康账户</w:t>
            </w:r>
          </w:p>
        </w:tc>
        <w:tc>
          <w:tcPr>
            <w:tcW w:w="8811" w:type="dxa"/>
            <w:gridSpan w:val="6"/>
            <w:tcBorders>
              <w:top w:val="nil"/>
              <w:left w:val="nil"/>
              <w:bottom w:val="single" w:color="auto" w:sz="8" w:space="0"/>
              <w:right w:val="single" w:color="auto" w:sz="8" w:space="0"/>
            </w:tcBorders>
            <w:tcMar>
              <w:top w:w="15" w:type="dxa"/>
              <w:left w:w="15" w:type="dxa"/>
              <w:bottom w:w="0" w:type="dxa"/>
              <w:right w:w="15" w:type="dxa"/>
            </w:tcMar>
            <w:vAlign w:val="center"/>
          </w:tcPr>
          <w:p>
            <w:pPr>
              <w:widowControl/>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1、每年度结转时个人账户实际结余资金累计超过3000元的部分；</w:t>
            </w:r>
          </w:p>
          <w:p>
            <w:pPr>
              <w:widowControl/>
              <w:jc w:val="left"/>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2、年度预划拨本市职工购药（含体检）资金600元，公务员购药资金400元。</w:t>
            </w:r>
          </w:p>
        </w:tc>
      </w:tr>
      <w:tr>
        <w:tblPrEx>
          <w:tblCellMar>
            <w:top w:w="0" w:type="dxa"/>
            <w:left w:w="0" w:type="dxa"/>
            <w:bottom w:w="0" w:type="dxa"/>
            <w:right w:w="0" w:type="dxa"/>
          </w:tblCellMar>
        </w:tblPrEx>
        <w:trPr>
          <w:trHeight w:val="4097" w:hRule="atLeast"/>
          <w:jc w:val="center"/>
        </w:trPr>
        <w:tc>
          <w:tcPr>
            <w:tcW w:w="408" w:type="dxa"/>
            <w:gridSpan w:val="2"/>
            <w:tcBorders>
              <w:top w:val="nil"/>
              <w:left w:val="single" w:color="auto" w:sz="8" w:space="0"/>
              <w:bottom w:val="single" w:color="auto" w:sz="8" w:space="0"/>
              <w:right w:val="single" w:color="auto" w:sz="4" w:space="0"/>
            </w:tcBorders>
            <w:tcMar>
              <w:top w:w="15" w:type="dxa"/>
              <w:left w:w="15" w:type="dxa"/>
              <w:bottom w:w="0" w:type="dxa"/>
              <w:right w:w="15"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备　　 注</w:t>
            </w:r>
          </w:p>
        </w:tc>
        <w:tc>
          <w:tcPr>
            <w:tcW w:w="10109" w:type="dxa"/>
            <w:gridSpan w:val="9"/>
            <w:tcBorders>
              <w:top w:val="nil"/>
              <w:left w:val="single" w:color="auto" w:sz="4" w:space="0"/>
              <w:bottom w:val="single" w:color="auto" w:sz="8" w:space="0"/>
              <w:right w:val="single" w:color="auto" w:sz="8" w:space="0"/>
            </w:tcBorders>
            <w:vAlign w:val="center"/>
          </w:tcPr>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1、在职职工连续参保时间不满12个月的，大病保险待遇按正常参保待遇的50%赔付；连续参保时间满12个月不满24个月的，按正常参保待遇的75%赔付；连续参保时间满24个月的，按正常参保待遇的100%赔付。</w:t>
            </w:r>
          </w:p>
          <w:p>
            <w:pPr>
              <w:widowControl/>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2、可与省内参保直系亲属建立家庭共济账户，健康账户及家庭共济账户的资金可支付在定点医疗机构门诊和住院发生的由个人承担的医疗费用（非疾病治疗类除外）、接种预防性免疫二类疫苗的费用、在定点零售药店购买药品（准字号、中药饮片）、医疗器械（食药监械字、药监械字）和消毒用品（卫消字）的费用，体检费用等。</w:t>
            </w:r>
          </w:p>
          <w:p>
            <w:pPr>
              <w:widowControl/>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3、使用健康账户或家庭共济账户支付定点零售药店的费用，每个医保年度内累计金额不得超过5000元。</w:t>
            </w:r>
          </w:p>
          <w:p>
            <w:pPr>
              <w:widowControl/>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本市户籍参保人员每人每年，在执行国家基本药物制度及零差价的社区卫生服务中心、乡镇卫生院等一级及以下定点医疗机构门诊就医时发生的属于国家基本药物的药品费用、诊察费及常规医疗检查费用，不超过500元部分由医保统筹基金全部报销。该费用不用于抵付起付标准。</w:t>
            </w:r>
          </w:p>
        </w:tc>
      </w:tr>
    </w:tbl>
    <w:p>
      <w:pPr>
        <w:widowControl/>
        <w:jc w:val="left"/>
        <w:rPr>
          <w:rFonts w:cs="宋体" w:asciiTheme="minorEastAsia" w:hAnsiTheme="minorEastAsia"/>
          <w:color w:val="auto"/>
          <w:kern w:val="0"/>
          <w:szCs w:val="21"/>
        </w:rPr>
      </w:pPr>
      <w:r>
        <w:rPr>
          <w:rFonts w:cs="宋体" w:asciiTheme="minorEastAsia" w:hAnsiTheme="minorEastAsia"/>
          <w:color w:val="auto"/>
          <w:kern w:val="0"/>
          <w:szCs w:val="21"/>
        </w:rPr>
        <w:br w:type="page"/>
      </w:r>
    </w:p>
    <w:p>
      <w:pPr>
        <w:widowControl/>
        <w:shd w:val="clear" w:color="auto" w:fill="FFFFFF"/>
        <w:jc w:val="center"/>
        <w:rPr>
          <w:rFonts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外来从业人员</w:t>
      </w:r>
      <w:r>
        <w:rPr>
          <w:rFonts w:hint="eastAsia" w:cs="宋体" w:asciiTheme="minorEastAsia" w:hAnsiTheme="minorEastAsia"/>
          <w:b/>
          <w:color w:val="auto"/>
          <w:kern w:val="0"/>
          <w:sz w:val="28"/>
          <w:szCs w:val="28"/>
        </w:rPr>
        <w:t>医疗保险待遇简明表</w:t>
      </w:r>
    </w:p>
    <w:p>
      <w:pPr>
        <w:widowControl/>
        <w:shd w:val="clear" w:color="auto" w:fill="FFFFFF"/>
        <w:jc w:val="center"/>
        <w:rPr>
          <w:rFonts w:cs="宋体" w:asciiTheme="minorEastAsia" w:hAnsiTheme="minorEastAsia"/>
          <w:color w:val="auto"/>
          <w:kern w:val="0"/>
          <w:szCs w:val="21"/>
        </w:rPr>
      </w:pPr>
      <w:r>
        <w:rPr>
          <w:rFonts w:hint="eastAsia" w:cs="宋体" w:asciiTheme="minorEastAsia" w:hAnsiTheme="minorEastAsia"/>
          <w:color w:val="auto"/>
          <w:kern w:val="0"/>
          <w:szCs w:val="21"/>
        </w:rPr>
        <w:t>2021年7月—2022年6月</w:t>
      </w:r>
    </w:p>
    <w:tbl>
      <w:tblPr>
        <w:tblStyle w:val="7"/>
        <w:tblW w:w="488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78"/>
        <w:gridCol w:w="1206"/>
        <w:gridCol w:w="1815"/>
        <w:gridCol w:w="453"/>
        <w:gridCol w:w="820"/>
        <w:gridCol w:w="47"/>
        <w:gridCol w:w="693"/>
        <w:gridCol w:w="992"/>
        <w:gridCol w:w="684"/>
        <w:gridCol w:w="1097"/>
        <w:gridCol w:w="21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1684" w:type="dxa"/>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缴费基数</w:t>
            </w:r>
          </w:p>
        </w:tc>
        <w:tc>
          <w:tcPr>
            <w:tcW w:w="8748" w:type="dxa"/>
            <w:gridSpan w:val="9"/>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上年度全省全口径职工月平均工资6126.</w:t>
            </w:r>
            <w:r>
              <w:rPr>
                <w:rFonts w:hint="eastAsia" w:cs="宋体" w:asciiTheme="minorEastAsia" w:hAnsiTheme="minorEastAsia"/>
                <w:color w:val="auto"/>
                <w:kern w:val="0"/>
                <w:sz w:val="24"/>
                <w:szCs w:val="24"/>
                <w:lang w:val="en-US" w:eastAsia="zh-CN"/>
              </w:rPr>
              <w:t>42</w:t>
            </w:r>
            <w:r>
              <w:rPr>
                <w:rFonts w:cs="宋体" w:asciiTheme="minorEastAsia" w:hAnsiTheme="minorEastAsia"/>
                <w:color w:val="auto"/>
                <w:kern w:val="0"/>
                <w:sz w:val="24"/>
                <w:szCs w:val="24"/>
              </w:rPr>
              <w:t>×60</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3676元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1684" w:type="dxa"/>
            <w:gridSpan w:val="2"/>
            <w:vMerge w:val="restar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缴费比例</w:t>
            </w:r>
          </w:p>
        </w:tc>
        <w:tc>
          <w:tcPr>
            <w:tcW w:w="2268" w:type="dxa"/>
            <w:gridSpan w:val="2"/>
            <w:vMerge w:val="restar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 </w:t>
            </w:r>
            <w:r>
              <w:rPr>
                <w:rFonts w:cs="宋体" w:asciiTheme="minorEastAsia" w:hAnsiTheme="minorEastAsia"/>
                <w:color w:val="auto"/>
                <w:kern w:val="0"/>
                <w:sz w:val="24"/>
                <w:szCs w:val="24"/>
              </w:rPr>
              <w:t>5%  </w:t>
            </w:r>
            <w:r>
              <w:rPr>
                <w:rFonts w:hint="eastAsia" w:cs="宋体" w:asciiTheme="minorEastAsia" w:hAnsiTheme="minorEastAsia"/>
                <w:color w:val="auto"/>
                <w:kern w:val="0"/>
                <w:sz w:val="24"/>
                <w:szCs w:val="24"/>
              </w:rPr>
              <w:t>183.8元</w:t>
            </w:r>
          </w:p>
        </w:tc>
        <w:tc>
          <w:tcPr>
            <w:tcW w:w="1560" w:type="dxa"/>
            <w:gridSpan w:val="3"/>
            <w:vMerge w:val="restar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其中</w:t>
            </w:r>
          </w:p>
        </w:tc>
        <w:tc>
          <w:tcPr>
            <w:tcW w:w="1676" w:type="dxa"/>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单位</w:t>
            </w:r>
          </w:p>
        </w:tc>
        <w:tc>
          <w:tcPr>
            <w:tcW w:w="3244" w:type="dxa"/>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3%   </w:t>
            </w:r>
            <w:r>
              <w:rPr>
                <w:rFonts w:hint="eastAsia" w:cs="宋体" w:asciiTheme="minorEastAsia" w:hAnsiTheme="minorEastAsia"/>
                <w:color w:val="auto"/>
                <w:kern w:val="0"/>
                <w:sz w:val="24"/>
                <w:szCs w:val="24"/>
              </w:rPr>
              <w:t>110.28</w:t>
            </w:r>
            <w:r>
              <w:rPr>
                <w:rFonts w:cs="宋体" w:asciiTheme="minorEastAsia" w:hAnsiTheme="minorEastAsia"/>
                <w:color w:val="auto"/>
                <w:kern w:val="0"/>
                <w:sz w:val="24"/>
                <w:szCs w:val="24"/>
              </w:rPr>
              <w:t> </w:t>
            </w:r>
            <w:r>
              <w:rPr>
                <w:rFonts w:hint="eastAsia" w:cs="宋体" w:asciiTheme="minorEastAsia" w:hAnsiTheme="minorEastAsia"/>
                <w:color w:val="auto"/>
                <w:kern w:val="0"/>
                <w:sz w:val="24"/>
                <w:szCs w:val="24"/>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1684" w:type="dxa"/>
            <w:gridSpan w:val="2"/>
            <w:vMerge w:val="continue"/>
            <w:vAlign w:val="center"/>
          </w:tcPr>
          <w:p>
            <w:pPr>
              <w:widowControl/>
              <w:jc w:val="left"/>
              <w:rPr>
                <w:rFonts w:cs="宋体" w:asciiTheme="minorEastAsia" w:hAnsiTheme="minorEastAsia"/>
                <w:color w:val="auto"/>
                <w:kern w:val="0"/>
                <w:sz w:val="24"/>
                <w:szCs w:val="24"/>
              </w:rPr>
            </w:pPr>
          </w:p>
        </w:tc>
        <w:tc>
          <w:tcPr>
            <w:tcW w:w="2268" w:type="dxa"/>
            <w:gridSpan w:val="2"/>
            <w:vMerge w:val="continue"/>
            <w:vAlign w:val="center"/>
          </w:tcPr>
          <w:p>
            <w:pPr>
              <w:widowControl/>
              <w:jc w:val="left"/>
              <w:rPr>
                <w:rFonts w:cs="宋体" w:asciiTheme="minorEastAsia" w:hAnsiTheme="minorEastAsia"/>
                <w:color w:val="auto"/>
                <w:kern w:val="0"/>
                <w:sz w:val="24"/>
                <w:szCs w:val="24"/>
              </w:rPr>
            </w:pPr>
          </w:p>
        </w:tc>
        <w:tc>
          <w:tcPr>
            <w:tcW w:w="1560" w:type="dxa"/>
            <w:gridSpan w:val="3"/>
            <w:vMerge w:val="continue"/>
            <w:vAlign w:val="center"/>
          </w:tcPr>
          <w:p>
            <w:pPr>
              <w:widowControl/>
              <w:jc w:val="left"/>
              <w:rPr>
                <w:rFonts w:cs="宋体" w:asciiTheme="minorEastAsia" w:hAnsiTheme="minorEastAsia"/>
                <w:color w:val="auto"/>
                <w:kern w:val="0"/>
                <w:sz w:val="24"/>
                <w:szCs w:val="24"/>
              </w:rPr>
            </w:pPr>
          </w:p>
        </w:tc>
        <w:tc>
          <w:tcPr>
            <w:tcW w:w="1676" w:type="dxa"/>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个人</w:t>
            </w:r>
          </w:p>
        </w:tc>
        <w:tc>
          <w:tcPr>
            <w:tcW w:w="3244" w:type="dxa"/>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2%   </w:t>
            </w:r>
            <w:r>
              <w:rPr>
                <w:rFonts w:hint="eastAsia" w:cs="宋体" w:asciiTheme="minorEastAsia" w:hAnsiTheme="minorEastAsia"/>
                <w:color w:val="auto"/>
                <w:kern w:val="0"/>
                <w:sz w:val="24"/>
                <w:szCs w:val="24"/>
              </w:rPr>
              <w:t>73.52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1684" w:type="dxa"/>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个人账户</w:t>
            </w:r>
          </w:p>
        </w:tc>
        <w:tc>
          <w:tcPr>
            <w:tcW w:w="2268" w:type="dxa"/>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每月划拨115.67元</w:t>
            </w:r>
          </w:p>
        </w:tc>
        <w:tc>
          <w:tcPr>
            <w:tcW w:w="1560" w:type="dxa"/>
            <w:gridSpan w:val="3"/>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健康账户</w:t>
            </w:r>
          </w:p>
        </w:tc>
        <w:tc>
          <w:tcPr>
            <w:tcW w:w="4920" w:type="dxa"/>
            <w:gridSpan w:val="4"/>
            <w:noWrap/>
            <w:tcMar>
              <w:top w:w="0" w:type="dxa"/>
              <w:left w:w="108" w:type="dxa"/>
              <w:bottom w:w="0" w:type="dxa"/>
              <w:right w:w="108" w:type="dxa"/>
            </w:tcMar>
            <w:vAlign w:val="center"/>
          </w:tcPr>
          <w:p>
            <w:pPr>
              <w:widowControl/>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1.购药资金每年为200元，按月划拨</w:t>
            </w:r>
            <w:r>
              <w:rPr>
                <w:rFonts w:cs="宋体" w:asciiTheme="minorEastAsia" w:hAnsiTheme="minorEastAsia"/>
                <w:color w:val="auto"/>
                <w:kern w:val="0"/>
                <w:sz w:val="24"/>
                <w:szCs w:val="24"/>
              </w:rPr>
              <w:t>16.67</w:t>
            </w:r>
            <w:r>
              <w:rPr>
                <w:rFonts w:hint="eastAsia" w:cs="宋体" w:asciiTheme="minorEastAsia" w:hAnsiTheme="minorEastAsia"/>
                <w:color w:val="auto"/>
                <w:kern w:val="0"/>
                <w:sz w:val="24"/>
                <w:szCs w:val="24"/>
              </w:rPr>
              <w:t>元；2.每年度结转时个人账户实际结余资金累计超过3000元的部分。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10432" w:type="dxa"/>
            <w:gridSpan w:val="11"/>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基本医疗保险待遇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66" w:hRule="atLeast"/>
          <w:jc w:val="center"/>
        </w:trPr>
        <w:tc>
          <w:tcPr>
            <w:tcW w:w="10432" w:type="dxa"/>
            <w:gridSpan w:val="11"/>
            <w:tcMar>
              <w:top w:w="0" w:type="dxa"/>
              <w:left w:w="108" w:type="dxa"/>
              <w:bottom w:w="0" w:type="dxa"/>
              <w:right w:w="108" w:type="dxa"/>
            </w:tcMar>
            <w:vAlign w:val="center"/>
          </w:tcPr>
          <w:p>
            <w:pPr>
              <w:widowControl/>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rPr>
              <w:t>、门诊医疗费：先由个人账户支付，个人账户支付完，在门诊统筹基金最高支付限额内且符合医保支付规定的费用由医保统筹基金支付</w:t>
            </w:r>
            <w:r>
              <w:rPr>
                <w:rFonts w:cs="宋体" w:asciiTheme="minorEastAsia" w:hAnsiTheme="minorEastAsia"/>
                <w:color w:val="auto"/>
                <w:kern w:val="0"/>
                <w:sz w:val="24"/>
                <w:szCs w:val="24"/>
              </w:rPr>
              <w:t>70%</w:t>
            </w:r>
            <w:r>
              <w:rPr>
                <w:rFonts w:hint="eastAsia" w:cs="宋体" w:asciiTheme="minorEastAsia" w:hAnsiTheme="minorEastAsia"/>
                <w:color w:val="auto"/>
                <w:kern w:val="0"/>
                <w:sz w:val="24"/>
                <w:szCs w:val="24"/>
              </w:rPr>
              <w:t>，个人自付</w:t>
            </w:r>
            <w:r>
              <w:rPr>
                <w:rFonts w:cs="宋体" w:asciiTheme="minorEastAsia" w:hAnsiTheme="minorEastAsia"/>
                <w:color w:val="auto"/>
                <w:kern w:val="0"/>
                <w:sz w:val="24"/>
                <w:szCs w:val="24"/>
              </w:rPr>
              <w:t>30%</w:t>
            </w:r>
            <w:r>
              <w:rPr>
                <w:rFonts w:hint="eastAsia" w:cs="宋体" w:asciiTheme="minorEastAsia" w:hAnsiTheme="minorEastAsia"/>
                <w:color w:val="auto"/>
                <w:kern w:val="0"/>
                <w:sz w:val="24"/>
                <w:szCs w:val="24"/>
              </w:rPr>
              <w:t>。</w:t>
            </w:r>
          </w:p>
          <w:p>
            <w:pPr>
              <w:widowControl/>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、住院医疗费：每次住院先由个人账户、健康账户、家庭共济账户的资金或现金支付住院起付标准，其余在统筹基金最高支付限额内且符合医保支付规定的费用由医保统筹基金支付</w:t>
            </w:r>
            <w:r>
              <w:rPr>
                <w:rFonts w:cs="宋体" w:asciiTheme="minorEastAsia" w:hAnsiTheme="minorEastAsia"/>
                <w:color w:val="auto"/>
                <w:kern w:val="0"/>
                <w:sz w:val="24"/>
                <w:szCs w:val="24"/>
              </w:rPr>
              <w:t>86%</w:t>
            </w:r>
            <w:r>
              <w:rPr>
                <w:rFonts w:hint="eastAsia" w:cs="宋体" w:asciiTheme="minorEastAsia" w:hAnsiTheme="minorEastAsia"/>
                <w:color w:val="auto"/>
                <w:kern w:val="0"/>
                <w:sz w:val="24"/>
                <w:szCs w:val="24"/>
              </w:rPr>
              <w:t>，个人现金自付</w:t>
            </w:r>
            <w:r>
              <w:rPr>
                <w:rFonts w:cs="宋体" w:asciiTheme="minorEastAsia" w:hAnsiTheme="minorEastAsia"/>
                <w:color w:val="auto"/>
                <w:kern w:val="0"/>
                <w:sz w:val="24"/>
                <w:szCs w:val="24"/>
              </w:rPr>
              <w:t>14%</w:t>
            </w:r>
            <w:r>
              <w:rPr>
                <w:rFonts w:hint="eastAsia" w:cs="宋体" w:asciiTheme="minorEastAsia" w:hAnsiTheme="minorEastAsia"/>
                <w:color w:val="auto"/>
                <w:kern w:val="0"/>
                <w:sz w:val="24"/>
                <w:szCs w:val="24"/>
              </w:rPr>
              <w:t>。</w:t>
            </w:r>
          </w:p>
          <w:p>
            <w:pPr>
              <w:widowControl/>
              <w:jc w:val="left"/>
              <w:rPr>
                <w:rFonts w:cs="宋体" w:asciiTheme="minorEastAsia" w:hAnsiTheme="minorEastAsia"/>
                <w:bCs/>
                <w:color w:val="auto"/>
                <w:kern w:val="0"/>
                <w:sz w:val="24"/>
                <w:szCs w:val="24"/>
              </w:rPr>
            </w:pPr>
            <w:r>
              <w:rPr>
                <w:rFonts w:hint="eastAsia" w:cs="宋体" w:asciiTheme="minorEastAsia" w:hAnsiTheme="minorEastAsia"/>
                <w:color w:val="auto"/>
                <w:kern w:val="0"/>
                <w:sz w:val="24"/>
                <w:szCs w:val="24"/>
              </w:rPr>
              <w:t>3、</w:t>
            </w:r>
            <w:r>
              <w:rPr>
                <w:rFonts w:hint="eastAsia" w:cs="宋体" w:asciiTheme="minorEastAsia" w:hAnsiTheme="minorEastAsia"/>
                <w:bCs/>
                <w:color w:val="auto"/>
                <w:kern w:val="0"/>
                <w:sz w:val="24"/>
                <w:szCs w:val="24"/>
              </w:rPr>
              <w:t>可与省内参保直系亲属建立家庭共济账户，健康账户及家庭共济账户的资金可支付在定点医疗机构门诊和住院发生的由个人承担的医疗费用（非疾病治疗类除外）、接种预防性免疫二类疫苗的费用、在定点零售药店购买药品（准字号、中药饮片）、医疗器械（食药监械字、药监械字）和消毒用品（卫消字）的费用，体检费用等。</w:t>
            </w:r>
          </w:p>
          <w:p>
            <w:pPr>
              <w:widowControl/>
              <w:jc w:val="left"/>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4、使用健康账户或家庭共济账户支付定点零售药店的费用，每个医保年度内累计金额不得超过5000元。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8" w:hRule="atLeast"/>
          <w:jc w:val="center"/>
        </w:trPr>
        <w:tc>
          <w:tcPr>
            <w:tcW w:w="10432" w:type="dxa"/>
            <w:gridSpan w:val="11"/>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基本医疗保险住院起付标准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684" w:type="dxa"/>
            <w:gridSpan w:val="2"/>
            <w:vMerge w:val="restart"/>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住院起付标准</w:t>
            </w:r>
          </w:p>
          <w:p>
            <w:pPr>
              <w:widowControl/>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（现金或个人账户或健康账户支付）</w:t>
            </w:r>
          </w:p>
        </w:tc>
        <w:tc>
          <w:tcPr>
            <w:tcW w:w="3088" w:type="dxa"/>
            <w:gridSpan w:val="3"/>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项目</w:t>
            </w:r>
          </w:p>
        </w:tc>
        <w:tc>
          <w:tcPr>
            <w:tcW w:w="1732" w:type="dxa"/>
            <w:gridSpan w:val="3"/>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三级医院</w:t>
            </w:r>
          </w:p>
        </w:tc>
        <w:tc>
          <w:tcPr>
            <w:tcW w:w="1781" w:type="dxa"/>
            <w:gridSpan w:val="2"/>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二级医院</w:t>
            </w:r>
          </w:p>
        </w:tc>
        <w:tc>
          <w:tcPr>
            <w:tcW w:w="2147" w:type="dxa"/>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一级及以下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684" w:type="dxa"/>
            <w:gridSpan w:val="2"/>
            <w:vMerge w:val="continue"/>
            <w:vAlign w:val="center"/>
          </w:tcPr>
          <w:p>
            <w:pPr>
              <w:widowControl/>
              <w:jc w:val="left"/>
              <w:rPr>
                <w:rFonts w:cs="宋体" w:asciiTheme="minorEastAsia" w:hAnsiTheme="minorEastAsia"/>
                <w:color w:val="auto"/>
                <w:kern w:val="0"/>
                <w:sz w:val="24"/>
                <w:szCs w:val="24"/>
              </w:rPr>
            </w:pPr>
          </w:p>
        </w:tc>
        <w:tc>
          <w:tcPr>
            <w:tcW w:w="3088" w:type="dxa"/>
            <w:gridSpan w:val="3"/>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首次住院</w:t>
            </w:r>
          </w:p>
        </w:tc>
        <w:tc>
          <w:tcPr>
            <w:tcW w:w="1732" w:type="dxa"/>
            <w:gridSpan w:val="3"/>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1000</w:t>
            </w:r>
            <w:r>
              <w:rPr>
                <w:rFonts w:hint="eastAsia" w:cs="宋体" w:asciiTheme="minorEastAsia" w:hAnsiTheme="minorEastAsia"/>
                <w:color w:val="auto"/>
                <w:kern w:val="0"/>
                <w:sz w:val="24"/>
                <w:szCs w:val="24"/>
              </w:rPr>
              <w:t>元</w:t>
            </w:r>
          </w:p>
        </w:tc>
        <w:tc>
          <w:tcPr>
            <w:tcW w:w="1781" w:type="dxa"/>
            <w:gridSpan w:val="2"/>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600</w:t>
            </w:r>
            <w:r>
              <w:rPr>
                <w:rFonts w:hint="eastAsia" w:cs="宋体" w:asciiTheme="minorEastAsia" w:hAnsiTheme="minorEastAsia"/>
                <w:color w:val="auto"/>
                <w:kern w:val="0"/>
                <w:sz w:val="24"/>
                <w:szCs w:val="24"/>
              </w:rPr>
              <w:t>元</w:t>
            </w:r>
          </w:p>
        </w:tc>
        <w:tc>
          <w:tcPr>
            <w:tcW w:w="2147" w:type="dxa"/>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200</w:t>
            </w:r>
            <w:r>
              <w:rPr>
                <w:rFonts w:hint="eastAsia" w:cs="宋体" w:asciiTheme="minorEastAsia" w:hAnsiTheme="minorEastAsia"/>
                <w:color w:val="auto"/>
                <w:kern w:val="0"/>
                <w:sz w:val="24"/>
                <w:szCs w:val="24"/>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684" w:type="dxa"/>
            <w:gridSpan w:val="2"/>
            <w:vMerge w:val="continue"/>
            <w:vAlign w:val="center"/>
          </w:tcPr>
          <w:p>
            <w:pPr>
              <w:widowControl/>
              <w:jc w:val="left"/>
              <w:rPr>
                <w:rFonts w:cs="宋体" w:asciiTheme="minorEastAsia" w:hAnsiTheme="minorEastAsia"/>
                <w:color w:val="auto"/>
                <w:kern w:val="0"/>
                <w:sz w:val="24"/>
                <w:szCs w:val="24"/>
              </w:rPr>
            </w:pPr>
          </w:p>
        </w:tc>
        <w:tc>
          <w:tcPr>
            <w:tcW w:w="3088" w:type="dxa"/>
            <w:gridSpan w:val="3"/>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二次及以上住院</w:t>
            </w:r>
          </w:p>
        </w:tc>
        <w:tc>
          <w:tcPr>
            <w:tcW w:w="1732" w:type="dxa"/>
            <w:gridSpan w:val="3"/>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500</w:t>
            </w:r>
            <w:r>
              <w:rPr>
                <w:rFonts w:hint="eastAsia" w:cs="宋体" w:asciiTheme="minorEastAsia" w:hAnsiTheme="minorEastAsia"/>
                <w:color w:val="auto"/>
                <w:kern w:val="0"/>
                <w:sz w:val="24"/>
                <w:szCs w:val="24"/>
              </w:rPr>
              <w:t>元</w:t>
            </w:r>
          </w:p>
        </w:tc>
        <w:tc>
          <w:tcPr>
            <w:tcW w:w="1781" w:type="dxa"/>
            <w:gridSpan w:val="2"/>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300</w:t>
            </w:r>
            <w:r>
              <w:rPr>
                <w:rFonts w:hint="eastAsia" w:cs="宋体" w:asciiTheme="minorEastAsia" w:hAnsiTheme="minorEastAsia"/>
                <w:color w:val="auto"/>
                <w:kern w:val="0"/>
                <w:sz w:val="24"/>
                <w:szCs w:val="24"/>
              </w:rPr>
              <w:t>元</w:t>
            </w:r>
          </w:p>
        </w:tc>
        <w:tc>
          <w:tcPr>
            <w:tcW w:w="2147" w:type="dxa"/>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100</w:t>
            </w:r>
            <w:r>
              <w:rPr>
                <w:rFonts w:hint="eastAsia" w:cs="宋体" w:asciiTheme="minorEastAsia" w:hAnsiTheme="minorEastAsia"/>
                <w:color w:val="auto"/>
                <w:kern w:val="0"/>
                <w:sz w:val="24"/>
                <w:szCs w:val="24"/>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0432" w:type="dxa"/>
            <w:gridSpan w:val="11"/>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基本医疗保险统筹基金最高支付限额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684" w:type="dxa"/>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连续参保年限</w:t>
            </w:r>
          </w:p>
        </w:tc>
        <w:tc>
          <w:tcPr>
            <w:tcW w:w="3135" w:type="dxa"/>
            <w:gridSpan w:val="4"/>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门</w:t>
            </w:r>
            <w:r>
              <w:rPr>
                <w:rFonts w:cs="宋体" w:asciiTheme="minorEastAsia" w:hAnsiTheme="minorEastAsia"/>
                <w:bCs/>
                <w:color w:val="auto"/>
                <w:kern w:val="0"/>
                <w:sz w:val="24"/>
                <w:szCs w:val="24"/>
              </w:rPr>
              <w:t>   </w:t>
            </w:r>
            <w:r>
              <w:rPr>
                <w:rFonts w:hint="eastAsia" w:cs="宋体" w:asciiTheme="minorEastAsia" w:hAnsiTheme="minorEastAsia"/>
                <w:bCs/>
                <w:color w:val="auto"/>
                <w:kern w:val="0"/>
                <w:sz w:val="24"/>
                <w:szCs w:val="24"/>
              </w:rPr>
              <w:t>诊</w:t>
            </w:r>
          </w:p>
        </w:tc>
        <w:tc>
          <w:tcPr>
            <w:tcW w:w="5613" w:type="dxa"/>
            <w:gridSpan w:val="5"/>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门</w:t>
            </w:r>
            <w:r>
              <w:rPr>
                <w:rFonts w:cs="宋体" w:asciiTheme="minorEastAsia" w:hAnsiTheme="minorEastAsia"/>
                <w:bCs/>
                <w:color w:val="auto"/>
                <w:kern w:val="0"/>
                <w:sz w:val="24"/>
                <w:szCs w:val="24"/>
              </w:rPr>
              <w:t>  </w:t>
            </w:r>
            <w:r>
              <w:rPr>
                <w:rFonts w:hint="eastAsia" w:cs="宋体" w:asciiTheme="minorEastAsia" w:hAnsiTheme="minorEastAsia"/>
                <w:bCs/>
                <w:color w:val="auto"/>
                <w:kern w:val="0"/>
                <w:sz w:val="24"/>
                <w:szCs w:val="24"/>
              </w:rPr>
              <w:t>诊</w:t>
            </w:r>
            <w:r>
              <w:rPr>
                <w:rFonts w:cs="宋体" w:asciiTheme="minorEastAsia" w:hAnsiTheme="minorEastAsia"/>
                <w:bCs/>
                <w:color w:val="auto"/>
                <w:kern w:val="0"/>
                <w:sz w:val="24"/>
                <w:szCs w:val="24"/>
              </w:rPr>
              <w:t>  </w:t>
            </w:r>
            <w:r>
              <w:rPr>
                <w:rFonts w:hint="eastAsia" w:cs="宋体" w:asciiTheme="minorEastAsia" w:hAnsiTheme="minorEastAsia"/>
                <w:bCs/>
                <w:color w:val="auto"/>
                <w:kern w:val="0"/>
                <w:sz w:val="24"/>
                <w:szCs w:val="24"/>
              </w:rPr>
              <w:t>和</w:t>
            </w:r>
            <w:r>
              <w:rPr>
                <w:rFonts w:cs="宋体" w:asciiTheme="minorEastAsia" w:hAnsiTheme="minorEastAsia"/>
                <w:bCs/>
                <w:color w:val="auto"/>
                <w:kern w:val="0"/>
                <w:sz w:val="24"/>
                <w:szCs w:val="24"/>
              </w:rPr>
              <w:t>  </w:t>
            </w:r>
            <w:r>
              <w:rPr>
                <w:rFonts w:hint="eastAsia" w:cs="宋体" w:asciiTheme="minorEastAsia" w:hAnsiTheme="minorEastAsia"/>
                <w:bCs/>
                <w:color w:val="auto"/>
                <w:kern w:val="0"/>
                <w:sz w:val="24"/>
                <w:szCs w:val="24"/>
              </w:rPr>
              <w:t>住</w:t>
            </w:r>
            <w:r>
              <w:rPr>
                <w:rFonts w:cs="宋体" w:asciiTheme="minorEastAsia" w:hAnsiTheme="minorEastAsia"/>
                <w:bCs/>
                <w:color w:val="auto"/>
                <w:kern w:val="0"/>
                <w:sz w:val="24"/>
                <w:szCs w:val="24"/>
              </w:rPr>
              <w:t>  </w:t>
            </w:r>
            <w:r>
              <w:rPr>
                <w:rFonts w:hint="eastAsia" w:cs="宋体" w:asciiTheme="minorEastAsia" w:hAnsiTheme="minorEastAsia"/>
                <w:bCs/>
                <w:color w:val="auto"/>
                <w:kern w:val="0"/>
                <w:sz w:val="24"/>
                <w:szCs w:val="24"/>
              </w:rPr>
              <w:t>院</w:t>
            </w:r>
            <w:r>
              <w:rPr>
                <w:rFonts w:cs="宋体" w:asciiTheme="minorEastAsia" w:hAnsiTheme="minorEastAsia"/>
                <w:bCs/>
                <w:color w:val="auto"/>
                <w:kern w:val="0"/>
                <w:sz w:val="24"/>
                <w:szCs w:val="24"/>
              </w:rPr>
              <w:t>  </w:t>
            </w:r>
            <w:r>
              <w:rPr>
                <w:rFonts w:hint="eastAsia" w:cs="宋体" w:asciiTheme="minorEastAsia" w:hAnsiTheme="minorEastAsia"/>
                <w:bCs/>
                <w:color w:val="auto"/>
                <w:kern w:val="0"/>
                <w:sz w:val="24"/>
                <w:szCs w:val="24"/>
              </w:rPr>
              <w:t>合</w:t>
            </w:r>
            <w:r>
              <w:rPr>
                <w:rFonts w:cs="宋体" w:asciiTheme="minorEastAsia" w:hAnsiTheme="minorEastAsia"/>
                <w:bCs/>
                <w:color w:val="auto"/>
                <w:kern w:val="0"/>
                <w:sz w:val="24"/>
                <w:szCs w:val="24"/>
              </w:rPr>
              <w:t>  </w:t>
            </w:r>
            <w:r>
              <w:rPr>
                <w:rFonts w:hint="eastAsia" w:cs="宋体" w:asciiTheme="minorEastAsia" w:hAnsiTheme="minorEastAsia"/>
                <w:bCs/>
                <w:color w:val="auto"/>
                <w:kern w:val="0"/>
                <w:sz w:val="24"/>
                <w:szCs w:val="24"/>
              </w:rPr>
              <w:t>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478" w:type="dxa"/>
            <w:vMerge w:val="restart"/>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连</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续</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参</w:t>
            </w:r>
          </w:p>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保</w:t>
            </w:r>
          </w:p>
        </w:tc>
        <w:tc>
          <w:tcPr>
            <w:tcW w:w="1206" w:type="dxa"/>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半年以内</w:t>
            </w:r>
          </w:p>
        </w:tc>
        <w:tc>
          <w:tcPr>
            <w:tcW w:w="1815" w:type="dxa"/>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支付限额</w:t>
            </w:r>
          </w:p>
        </w:tc>
        <w:tc>
          <w:tcPr>
            <w:tcW w:w="1320" w:type="dxa"/>
            <w:gridSpan w:val="3"/>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400</w:t>
            </w:r>
            <w:r>
              <w:rPr>
                <w:rFonts w:hint="eastAsia" w:cs="宋体" w:asciiTheme="minorEastAsia" w:hAnsiTheme="minorEastAsia"/>
                <w:color w:val="auto"/>
                <w:kern w:val="0"/>
                <w:sz w:val="24"/>
                <w:szCs w:val="24"/>
              </w:rPr>
              <w:t>元</w:t>
            </w:r>
          </w:p>
        </w:tc>
        <w:tc>
          <w:tcPr>
            <w:tcW w:w="1685" w:type="dxa"/>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最高限额比例</w:t>
            </w:r>
          </w:p>
        </w:tc>
        <w:tc>
          <w:tcPr>
            <w:tcW w:w="3928" w:type="dxa"/>
            <w:gridSpan w:val="3"/>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30%   </w:t>
            </w:r>
            <w:r>
              <w:rPr>
                <w:rFonts w:hint="eastAsia" w:cs="宋体" w:asciiTheme="minorEastAsia" w:hAnsiTheme="minorEastAsia"/>
                <w:color w:val="auto"/>
                <w:kern w:val="0"/>
                <w:sz w:val="24"/>
                <w:szCs w:val="24"/>
              </w:rPr>
              <w:t>即：</w:t>
            </w:r>
            <w:r>
              <w:rPr>
                <w:rFonts w:cs="宋体" w:asciiTheme="minorEastAsia" w:hAnsiTheme="minorEastAsia"/>
                <w:color w:val="auto"/>
                <w:kern w:val="0"/>
                <w:sz w:val="24"/>
                <w:szCs w:val="24"/>
              </w:rPr>
              <w:t>30000</w:t>
            </w:r>
            <w:r>
              <w:rPr>
                <w:rFonts w:hint="eastAsia" w:cs="宋体" w:asciiTheme="minorEastAsia" w:hAnsiTheme="minorEastAsia"/>
                <w:color w:val="auto"/>
                <w:kern w:val="0"/>
                <w:sz w:val="24"/>
                <w:szCs w:val="24"/>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478" w:type="dxa"/>
            <w:vMerge w:val="continue"/>
            <w:vAlign w:val="center"/>
          </w:tcPr>
          <w:p>
            <w:pPr>
              <w:widowControl/>
              <w:jc w:val="left"/>
              <w:rPr>
                <w:rFonts w:cs="宋体" w:asciiTheme="minorEastAsia" w:hAnsiTheme="minorEastAsia"/>
                <w:color w:val="auto"/>
                <w:kern w:val="0"/>
                <w:sz w:val="24"/>
                <w:szCs w:val="24"/>
              </w:rPr>
            </w:pPr>
          </w:p>
        </w:tc>
        <w:tc>
          <w:tcPr>
            <w:tcW w:w="1206" w:type="dxa"/>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半年以上</w:t>
            </w: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年内</w:t>
            </w:r>
          </w:p>
        </w:tc>
        <w:tc>
          <w:tcPr>
            <w:tcW w:w="1815" w:type="dxa"/>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支付限额</w:t>
            </w:r>
          </w:p>
        </w:tc>
        <w:tc>
          <w:tcPr>
            <w:tcW w:w="1320" w:type="dxa"/>
            <w:gridSpan w:val="3"/>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800</w:t>
            </w:r>
            <w:r>
              <w:rPr>
                <w:rFonts w:hint="eastAsia" w:cs="宋体" w:asciiTheme="minorEastAsia" w:hAnsiTheme="minorEastAsia"/>
                <w:color w:val="auto"/>
                <w:kern w:val="0"/>
                <w:sz w:val="24"/>
                <w:szCs w:val="24"/>
              </w:rPr>
              <w:t>元</w:t>
            </w:r>
          </w:p>
        </w:tc>
        <w:tc>
          <w:tcPr>
            <w:tcW w:w="1685" w:type="dxa"/>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最高限额比例</w:t>
            </w:r>
          </w:p>
        </w:tc>
        <w:tc>
          <w:tcPr>
            <w:tcW w:w="3928" w:type="dxa"/>
            <w:gridSpan w:val="3"/>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60%   </w:t>
            </w:r>
            <w:r>
              <w:rPr>
                <w:rFonts w:hint="eastAsia" w:cs="宋体" w:asciiTheme="minorEastAsia" w:hAnsiTheme="minorEastAsia"/>
                <w:color w:val="auto"/>
                <w:kern w:val="0"/>
                <w:sz w:val="24"/>
                <w:szCs w:val="24"/>
              </w:rPr>
              <w:t>即：</w:t>
            </w:r>
            <w:r>
              <w:rPr>
                <w:rFonts w:cs="宋体" w:asciiTheme="minorEastAsia" w:hAnsiTheme="minorEastAsia"/>
                <w:color w:val="auto"/>
                <w:kern w:val="0"/>
                <w:sz w:val="24"/>
                <w:szCs w:val="24"/>
              </w:rPr>
              <w:t>60000</w:t>
            </w:r>
            <w:r>
              <w:rPr>
                <w:rFonts w:hint="eastAsia" w:cs="宋体" w:asciiTheme="minorEastAsia" w:hAnsiTheme="minorEastAsia"/>
                <w:color w:val="auto"/>
                <w:kern w:val="0"/>
                <w:sz w:val="24"/>
                <w:szCs w:val="24"/>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478" w:type="dxa"/>
            <w:vMerge w:val="continue"/>
            <w:vAlign w:val="center"/>
          </w:tcPr>
          <w:p>
            <w:pPr>
              <w:widowControl/>
              <w:jc w:val="left"/>
              <w:rPr>
                <w:rFonts w:cs="宋体" w:asciiTheme="minorEastAsia" w:hAnsiTheme="minorEastAsia"/>
                <w:color w:val="auto"/>
                <w:kern w:val="0"/>
                <w:sz w:val="24"/>
                <w:szCs w:val="24"/>
              </w:rPr>
            </w:pPr>
          </w:p>
        </w:tc>
        <w:tc>
          <w:tcPr>
            <w:tcW w:w="1206" w:type="dxa"/>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年以上</w:t>
            </w:r>
          </w:p>
        </w:tc>
        <w:tc>
          <w:tcPr>
            <w:tcW w:w="1815" w:type="dxa"/>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支付限额</w:t>
            </w:r>
          </w:p>
        </w:tc>
        <w:tc>
          <w:tcPr>
            <w:tcW w:w="1320" w:type="dxa"/>
            <w:gridSpan w:val="3"/>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2000</w:t>
            </w:r>
            <w:r>
              <w:rPr>
                <w:rFonts w:hint="eastAsia" w:cs="宋体" w:asciiTheme="minorEastAsia" w:hAnsiTheme="minorEastAsia"/>
                <w:color w:val="auto"/>
                <w:kern w:val="0"/>
                <w:sz w:val="24"/>
                <w:szCs w:val="24"/>
              </w:rPr>
              <w:t>元</w:t>
            </w:r>
          </w:p>
        </w:tc>
        <w:tc>
          <w:tcPr>
            <w:tcW w:w="1685" w:type="dxa"/>
            <w:gridSpan w:val="2"/>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最高限额比例</w:t>
            </w:r>
          </w:p>
        </w:tc>
        <w:tc>
          <w:tcPr>
            <w:tcW w:w="3928" w:type="dxa"/>
            <w:gridSpan w:val="3"/>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100%   </w:t>
            </w:r>
            <w:r>
              <w:rPr>
                <w:rFonts w:hint="eastAsia" w:cs="宋体" w:asciiTheme="minorEastAsia" w:hAnsiTheme="minorEastAsia"/>
                <w:color w:val="auto"/>
                <w:kern w:val="0"/>
                <w:sz w:val="24"/>
                <w:szCs w:val="24"/>
              </w:rPr>
              <w:t>即：</w:t>
            </w:r>
            <w:r>
              <w:rPr>
                <w:rFonts w:cs="宋体" w:asciiTheme="minorEastAsia" w:hAnsiTheme="minorEastAsia"/>
                <w:color w:val="auto"/>
                <w:kern w:val="0"/>
                <w:sz w:val="24"/>
                <w:szCs w:val="24"/>
              </w:rPr>
              <w:t>100000</w:t>
            </w:r>
            <w:r>
              <w:rPr>
                <w:rFonts w:hint="eastAsia" w:cs="宋体" w:asciiTheme="minorEastAsia" w:hAnsiTheme="minorEastAsia"/>
                <w:color w:val="auto"/>
                <w:kern w:val="0"/>
                <w:sz w:val="24"/>
                <w:szCs w:val="24"/>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0432" w:type="dxa"/>
            <w:gridSpan w:val="11"/>
            <w:noWrap/>
            <w:tcMar>
              <w:top w:w="0" w:type="dxa"/>
              <w:left w:w="108" w:type="dxa"/>
              <w:bottom w:w="0" w:type="dxa"/>
              <w:right w:w="108" w:type="dxa"/>
            </w:tcMar>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连续参保满</w:t>
            </w: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年以上的外来从业人员，住院自付医疗费用参照城镇职工标准享受大病医疗保险待遇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1684" w:type="dxa"/>
            <w:gridSpan w:val="2"/>
            <w:vMerge w:val="restart"/>
            <w:vAlign w:val="center"/>
          </w:tcPr>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大病</w:t>
            </w:r>
          </w:p>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医疗</w:t>
            </w:r>
          </w:p>
          <w:p>
            <w:pPr>
              <w:widowControl/>
              <w:adjustRightInd w:val="0"/>
              <w:snapToGrid w:val="0"/>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保险</w:t>
            </w:r>
          </w:p>
        </w:tc>
        <w:tc>
          <w:tcPr>
            <w:tcW w:w="4820" w:type="dxa"/>
            <w:gridSpan w:val="6"/>
            <w:vAlign w:val="center"/>
          </w:tcPr>
          <w:p>
            <w:pPr>
              <w:widowControl/>
              <w:adjustRightInd w:val="0"/>
              <w:snapToGrid w:val="0"/>
              <w:jc w:val="center"/>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起付标准</w:t>
            </w:r>
          </w:p>
          <w:p>
            <w:pPr>
              <w:widowControl/>
              <w:adjustRightInd w:val="0"/>
              <w:snapToGrid w:val="0"/>
              <w:jc w:val="center"/>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（现金或个人账户或健康账户支付）</w:t>
            </w:r>
          </w:p>
        </w:tc>
        <w:tc>
          <w:tcPr>
            <w:tcW w:w="3928" w:type="dxa"/>
            <w:gridSpan w:val="3"/>
            <w:tcMar>
              <w:top w:w="15" w:type="dxa"/>
              <w:left w:w="15" w:type="dxa"/>
              <w:bottom w:w="0" w:type="dxa"/>
              <w:right w:w="15" w:type="dxa"/>
            </w:tcMar>
            <w:vAlign w:val="center"/>
          </w:tcPr>
          <w:p>
            <w:pPr>
              <w:widowControl/>
              <w:adjustRightInd w:val="0"/>
              <w:snapToGrid w:val="0"/>
              <w:jc w:val="center"/>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1万元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0" w:hRule="atLeast"/>
          <w:jc w:val="center"/>
        </w:trPr>
        <w:tc>
          <w:tcPr>
            <w:tcW w:w="1684" w:type="dxa"/>
            <w:gridSpan w:val="2"/>
            <w:vMerge w:val="continue"/>
            <w:vAlign w:val="center"/>
          </w:tcPr>
          <w:p>
            <w:pPr>
              <w:widowControl/>
              <w:adjustRightInd w:val="0"/>
              <w:snapToGrid w:val="0"/>
              <w:jc w:val="left"/>
              <w:rPr>
                <w:rFonts w:cs="宋体" w:asciiTheme="minorEastAsia" w:hAnsiTheme="minorEastAsia"/>
                <w:color w:val="auto"/>
                <w:kern w:val="0"/>
                <w:sz w:val="24"/>
                <w:szCs w:val="24"/>
              </w:rPr>
            </w:pPr>
          </w:p>
        </w:tc>
        <w:tc>
          <w:tcPr>
            <w:tcW w:w="4820" w:type="dxa"/>
            <w:gridSpan w:val="6"/>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1万元～10万元（含）</w:t>
            </w:r>
          </w:p>
        </w:tc>
        <w:tc>
          <w:tcPr>
            <w:tcW w:w="3928" w:type="dxa"/>
            <w:gridSpan w:val="3"/>
            <w:tcMar>
              <w:top w:w="15" w:type="dxa"/>
              <w:left w:w="15" w:type="dxa"/>
              <w:bottom w:w="0" w:type="dxa"/>
              <w:right w:w="15"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2" w:hRule="atLeast"/>
          <w:jc w:val="center"/>
        </w:trPr>
        <w:tc>
          <w:tcPr>
            <w:tcW w:w="1684" w:type="dxa"/>
            <w:gridSpan w:val="2"/>
            <w:vMerge w:val="continue"/>
            <w:vAlign w:val="center"/>
          </w:tcPr>
          <w:p>
            <w:pPr>
              <w:widowControl/>
              <w:adjustRightInd w:val="0"/>
              <w:snapToGrid w:val="0"/>
              <w:jc w:val="left"/>
              <w:rPr>
                <w:rFonts w:cs="宋体" w:asciiTheme="minorEastAsia" w:hAnsiTheme="minorEastAsia"/>
                <w:color w:val="auto"/>
                <w:kern w:val="0"/>
                <w:sz w:val="24"/>
                <w:szCs w:val="24"/>
              </w:rPr>
            </w:pPr>
          </w:p>
        </w:tc>
        <w:tc>
          <w:tcPr>
            <w:tcW w:w="4820" w:type="dxa"/>
            <w:gridSpan w:val="6"/>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10万元～20万元（含）</w:t>
            </w:r>
          </w:p>
        </w:tc>
        <w:tc>
          <w:tcPr>
            <w:tcW w:w="3928" w:type="dxa"/>
            <w:gridSpan w:val="3"/>
            <w:tcMar>
              <w:top w:w="15" w:type="dxa"/>
              <w:left w:w="15" w:type="dxa"/>
              <w:bottom w:w="0" w:type="dxa"/>
              <w:right w:w="15"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4" w:hRule="atLeast"/>
          <w:jc w:val="center"/>
        </w:trPr>
        <w:tc>
          <w:tcPr>
            <w:tcW w:w="1684" w:type="dxa"/>
            <w:gridSpan w:val="2"/>
            <w:vMerge w:val="continue"/>
            <w:vAlign w:val="center"/>
          </w:tcPr>
          <w:p>
            <w:pPr>
              <w:widowControl/>
              <w:adjustRightInd w:val="0"/>
              <w:snapToGrid w:val="0"/>
              <w:jc w:val="left"/>
              <w:rPr>
                <w:rFonts w:cs="宋体" w:asciiTheme="minorEastAsia" w:hAnsiTheme="minorEastAsia"/>
                <w:color w:val="auto"/>
                <w:kern w:val="0"/>
                <w:sz w:val="24"/>
                <w:szCs w:val="24"/>
              </w:rPr>
            </w:pPr>
          </w:p>
        </w:tc>
        <w:tc>
          <w:tcPr>
            <w:tcW w:w="4820" w:type="dxa"/>
            <w:gridSpan w:val="6"/>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&gt;20万元</w:t>
            </w:r>
          </w:p>
        </w:tc>
        <w:tc>
          <w:tcPr>
            <w:tcW w:w="3928" w:type="dxa"/>
            <w:gridSpan w:val="3"/>
            <w:tcMar>
              <w:top w:w="15" w:type="dxa"/>
              <w:left w:w="15" w:type="dxa"/>
              <w:bottom w:w="0" w:type="dxa"/>
              <w:right w:w="15" w:type="dxa"/>
            </w:tcMar>
            <w:vAlign w:val="center"/>
          </w:tcPr>
          <w:p>
            <w:pPr>
              <w:widowControl/>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4" w:hRule="atLeast"/>
          <w:jc w:val="center"/>
        </w:trPr>
        <w:tc>
          <w:tcPr>
            <w:tcW w:w="1684" w:type="dxa"/>
            <w:gridSpan w:val="2"/>
            <w:vMerge w:val="continue"/>
            <w:vAlign w:val="center"/>
          </w:tcPr>
          <w:p>
            <w:pPr>
              <w:widowControl/>
              <w:adjustRightInd w:val="0"/>
              <w:snapToGrid w:val="0"/>
              <w:jc w:val="left"/>
              <w:rPr>
                <w:rFonts w:cs="宋体" w:asciiTheme="minorEastAsia" w:hAnsiTheme="minorEastAsia"/>
                <w:color w:val="auto"/>
                <w:kern w:val="0"/>
                <w:sz w:val="24"/>
                <w:szCs w:val="24"/>
              </w:rPr>
            </w:pPr>
          </w:p>
        </w:tc>
        <w:tc>
          <w:tcPr>
            <w:tcW w:w="4820" w:type="dxa"/>
            <w:gridSpan w:val="6"/>
            <w:vAlign w:val="center"/>
          </w:tcPr>
          <w:p>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最高赔付限额</w:t>
            </w:r>
          </w:p>
        </w:tc>
        <w:tc>
          <w:tcPr>
            <w:tcW w:w="3928" w:type="dxa"/>
            <w:gridSpan w:val="3"/>
            <w:tcMar>
              <w:top w:w="15" w:type="dxa"/>
              <w:left w:w="15" w:type="dxa"/>
              <w:bottom w:w="0" w:type="dxa"/>
              <w:right w:w="15" w:type="dxa"/>
            </w:tcMar>
            <w:vAlign w:val="center"/>
          </w:tcPr>
          <w:p>
            <w:pPr>
              <w:widowControl/>
              <w:jc w:val="center"/>
              <w:rPr>
                <w:rFonts w:cs="Times New Roman" w:asciiTheme="minorEastAsia" w:hAnsiTheme="minorEastAsia"/>
                <w:color w:val="auto"/>
                <w:kern w:val="0"/>
                <w:sz w:val="24"/>
                <w:szCs w:val="24"/>
              </w:rPr>
            </w:pPr>
            <w:r>
              <w:rPr>
                <w:rFonts w:hint="eastAsia" w:cs="宋体" w:asciiTheme="minorEastAsia" w:hAnsiTheme="minorEastAsia"/>
                <w:color w:val="auto"/>
                <w:kern w:val="0"/>
                <w:sz w:val="24"/>
                <w:szCs w:val="24"/>
              </w:rPr>
              <w:t>住院50万元</w:t>
            </w:r>
          </w:p>
        </w:tc>
      </w:tr>
    </w:tbl>
    <w:p>
      <w:pPr>
        <w:widowControl/>
        <w:shd w:val="clear" w:color="auto" w:fill="FFFFFF"/>
        <w:jc w:val="center"/>
        <w:rPr>
          <w:rFonts w:cs="宋体" w:asciiTheme="minorEastAsia" w:hAnsiTheme="minorEastAsia"/>
          <w:color w:val="auto"/>
          <w:kern w:val="0"/>
          <w:szCs w:val="21"/>
        </w:rPr>
      </w:pPr>
      <w:r>
        <w:rPr>
          <w:rFonts w:hint="eastAsia" w:cs="宋体" w:asciiTheme="minorEastAsia" w:hAnsiTheme="minorEastAsia"/>
          <w:b/>
          <w:bCs/>
          <w:color w:val="auto"/>
          <w:kern w:val="0"/>
          <w:sz w:val="28"/>
          <w:szCs w:val="28"/>
        </w:rPr>
        <w:t>医疗救助对象及救助</w:t>
      </w:r>
      <w:r>
        <w:rPr>
          <w:rFonts w:hint="eastAsia" w:cs="宋体" w:asciiTheme="minorEastAsia" w:hAnsiTheme="minorEastAsia"/>
          <w:b/>
          <w:color w:val="auto"/>
          <w:kern w:val="0"/>
          <w:sz w:val="28"/>
          <w:szCs w:val="28"/>
        </w:rPr>
        <w:t>标准简明表</w:t>
      </w:r>
    </w:p>
    <w:p>
      <w:pPr>
        <w:widowControl/>
        <w:shd w:val="clear" w:color="auto" w:fill="FFFFFF"/>
        <w:jc w:val="center"/>
        <w:rPr>
          <w:rFonts w:cs="宋体" w:asciiTheme="minorEastAsia" w:hAnsiTheme="minorEastAsia"/>
          <w:color w:val="auto"/>
          <w:kern w:val="0"/>
          <w:szCs w:val="21"/>
        </w:rPr>
      </w:pPr>
      <w:r>
        <w:rPr>
          <w:rFonts w:hint="eastAsia" w:cs="宋体" w:asciiTheme="minorEastAsia" w:hAnsiTheme="minorEastAsia"/>
          <w:color w:val="auto"/>
          <w:kern w:val="0"/>
          <w:szCs w:val="21"/>
        </w:rPr>
        <w:t>2021年7月—2022年6月</w:t>
      </w:r>
    </w:p>
    <w:tbl>
      <w:tblPr>
        <w:tblStyle w:val="15"/>
        <w:tblW w:w="9388" w:type="dxa"/>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898"/>
        <w:gridCol w:w="864"/>
        <w:gridCol w:w="1559"/>
        <w:gridCol w:w="1560"/>
        <w:gridCol w:w="1637"/>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410"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救助对象类别</w:t>
            </w:r>
          </w:p>
        </w:tc>
        <w:tc>
          <w:tcPr>
            <w:tcW w:w="1559"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救助比例</w:t>
            </w:r>
          </w:p>
        </w:tc>
        <w:tc>
          <w:tcPr>
            <w:tcW w:w="156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起付标准</w:t>
            </w:r>
          </w:p>
        </w:tc>
        <w:tc>
          <w:tcPr>
            <w:tcW w:w="38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年度最高救助限额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0" w:type="auto"/>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20" w:lineRule="exact"/>
              <w:jc w:val="left"/>
              <w:rPr>
                <w:rFonts w:cs="仿宋_GB2312" w:asciiTheme="minorEastAsia" w:hAnsiTheme="minorEastAsia" w:eastAsiaTheme="minorEastAsia"/>
                <w:b/>
                <w:color w:val="auto"/>
                <w:sz w:val="24"/>
                <w:szCs w:val="24"/>
              </w:rPr>
            </w:pPr>
          </w:p>
        </w:tc>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20" w:lineRule="exact"/>
              <w:jc w:val="left"/>
              <w:rPr>
                <w:rFonts w:cs="仿宋_GB2312" w:asciiTheme="minorEastAsia" w:hAnsiTheme="minorEastAsia" w:eastAsiaTheme="minorEastAsia"/>
                <w:b/>
                <w:color w:val="auto"/>
                <w:sz w:val="24"/>
                <w:szCs w:val="24"/>
              </w:rPr>
            </w:pPr>
          </w:p>
        </w:tc>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20" w:lineRule="exact"/>
              <w:jc w:val="left"/>
              <w:rPr>
                <w:rFonts w:cs="仿宋_GB2312" w:asciiTheme="minorEastAsia" w:hAnsiTheme="minorEastAsia" w:eastAsiaTheme="minorEastAsia"/>
                <w:b/>
                <w:color w:val="auto"/>
                <w:sz w:val="24"/>
                <w:szCs w:val="24"/>
              </w:rPr>
            </w:pPr>
          </w:p>
        </w:tc>
        <w:tc>
          <w:tcPr>
            <w:tcW w:w="1637" w:type="dxa"/>
            <w:tcBorders>
              <w:top w:val="single" w:color="auto" w:sz="4" w:space="0"/>
              <w:left w:val="single" w:color="000000" w:themeColor="text1" w:sz="4" w:space="0"/>
              <w:bottom w:val="single" w:color="000000" w:themeColor="text1" w:sz="4" w:space="0"/>
              <w:right w:val="single" w:color="auto" w:sz="4" w:space="0"/>
            </w:tcBorders>
            <w:vAlign w:val="center"/>
          </w:tcPr>
          <w:p>
            <w:pPr>
              <w:spacing w:line="520" w:lineRule="exact"/>
              <w:jc w:val="center"/>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门诊</w:t>
            </w:r>
          </w:p>
        </w:tc>
        <w:tc>
          <w:tcPr>
            <w:tcW w:w="2222" w:type="dxa"/>
            <w:tcBorders>
              <w:top w:val="single" w:color="auto" w:sz="4" w:space="0"/>
              <w:left w:val="single" w:color="auto"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住院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241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第一类救助对象</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100%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0元</w:t>
            </w:r>
          </w:p>
        </w:tc>
        <w:tc>
          <w:tcPr>
            <w:tcW w:w="163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不封顶</w:t>
            </w:r>
          </w:p>
        </w:tc>
        <w:tc>
          <w:tcPr>
            <w:tcW w:w="22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不封顶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41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第二类救助对象</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95%</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0元</w:t>
            </w:r>
          </w:p>
        </w:tc>
        <w:tc>
          <w:tcPr>
            <w:tcW w:w="163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3万元</w:t>
            </w:r>
          </w:p>
        </w:tc>
        <w:tc>
          <w:tcPr>
            <w:tcW w:w="22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41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第三类救助对象</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85%</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0元</w:t>
            </w:r>
          </w:p>
        </w:tc>
        <w:tc>
          <w:tcPr>
            <w:tcW w:w="163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2万元</w:t>
            </w:r>
          </w:p>
        </w:tc>
        <w:tc>
          <w:tcPr>
            <w:tcW w:w="22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41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第四类救助对象</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75%</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1500元</w:t>
            </w:r>
          </w:p>
        </w:tc>
        <w:tc>
          <w:tcPr>
            <w:tcW w:w="163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2万元</w:t>
            </w:r>
          </w:p>
        </w:tc>
        <w:tc>
          <w:tcPr>
            <w:tcW w:w="22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241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第五类救助对象</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50%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1500元</w:t>
            </w:r>
          </w:p>
        </w:tc>
        <w:tc>
          <w:tcPr>
            <w:tcW w:w="38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20" w:lineRule="exact"/>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合计1万元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546" w:type="dxa"/>
            <w:gridSpan w:val="2"/>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资助参加</w:t>
            </w:r>
          </w:p>
          <w:p>
            <w:pPr>
              <w:widowControl/>
              <w:spacing w:line="400" w:lineRule="exact"/>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居民医保</w:t>
            </w:r>
          </w:p>
        </w:tc>
        <w:tc>
          <w:tcPr>
            <w:tcW w:w="7842" w:type="dxa"/>
            <w:gridSpan w:val="5"/>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widowControl/>
              <w:spacing w:line="400" w:lineRule="exact"/>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对第一类、第二类和第四类中持有第二代残疾人证但未被认定为重度残疾人的本市户籍居民等救助对象，居民医疗保险费由政府给予全额资助。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648" w:type="dxa"/>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widowControl/>
              <w:adjustRightInd w:val="0"/>
              <w:snapToGrid w:val="0"/>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医疗救助对象</w:t>
            </w:r>
          </w:p>
        </w:tc>
        <w:tc>
          <w:tcPr>
            <w:tcW w:w="8740" w:type="dxa"/>
            <w:gridSpan w:val="6"/>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widowControl/>
              <w:spacing w:line="400" w:lineRule="exact"/>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color w:val="auto"/>
                <w:kern w:val="0"/>
                <w:sz w:val="24"/>
                <w:szCs w:val="24"/>
              </w:rPr>
              <w:t>第一类</w:t>
            </w:r>
            <w:r>
              <w:rPr>
                <w:rFonts w:hint="eastAsia" w:cs="宋体" w:asciiTheme="minorEastAsia" w:hAnsiTheme="minorEastAsia" w:eastAsiaTheme="minorEastAsia"/>
                <w:color w:val="auto"/>
                <w:kern w:val="0"/>
                <w:sz w:val="24"/>
                <w:szCs w:val="24"/>
              </w:rPr>
              <w:t>：特困供养人员；</w:t>
            </w:r>
          </w:p>
          <w:p>
            <w:pPr>
              <w:widowControl/>
              <w:spacing w:line="400" w:lineRule="exact"/>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color w:val="auto"/>
                <w:kern w:val="0"/>
                <w:sz w:val="24"/>
                <w:szCs w:val="24"/>
              </w:rPr>
              <w:t>第二类</w:t>
            </w:r>
            <w:r>
              <w:rPr>
                <w:rFonts w:hint="eastAsia" w:cs="宋体" w:asciiTheme="minorEastAsia" w:hAnsiTheme="minorEastAsia" w:eastAsiaTheme="minorEastAsia"/>
                <w:color w:val="auto"/>
                <w:kern w:val="0"/>
                <w:sz w:val="24"/>
                <w:szCs w:val="24"/>
              </w:rPr>
              <w:t>：最低生活保障对象；重点优抚对象（含革命“五老”人员及其遗偶）；60年代精减退职救济对象（含矽肺病救济对象）；计生特殊家庭成员，指独生子女死亡、伤残或计生手术并发症家庭的成员；重度残疾人，指持有第二代中华人民共和国残疾人证，且残疾等级为二级及以上或精神、智力三级残疾的本市户籍居民；</w:t>
            </w:r>
          </w:p>
          <w:p>
            <w:pPr>
              <w:widowControl/>
              <w:spacing w:line="400" w:lineRule="exact"/>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color w:val="auto"/>
                <w:kern w:val="0"/>
                <w:sz w:val="24"/>
                <w:szCs w:val="24"/>
              </w:rPr>
              <w:t>第三类</w:t>
            </w:r>
            <w:r>
              <w:rPr>
                <w:rFonts w:hint="eastAsia" w:cs="宋体" w:asciiTheme="minorEastAsia" w:hAnsiTheme="minorEastAsia" w:eastAsiaTheme="minorEastAsia"/>
                <w:color w:val="auto"/>
                <w:kern w:val="0"/>
                <w:sz w:val="24"/>
                <w:szCs w:val="24"/>
              </w:rPr>
              <w:t>：低收入家庭成员；</w:t>
            </w:r>
          </w:p>
          <w:p>
            <w:pPr>
              <w:widowControl/>
              <w:spacing w:line="400" w:lineRule="exact"/>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color w:val="auto"/>
                <w:kern w:val="0"/>
                <w:sz w:val="24"/>
                <w:szCs w:val="24"/>
              </w:rPr>
              <w:t>第四类</w:t>
            </w:r>
            <w:r>
              <w:rPr>
                <w:rFonts w:hint="eastAsia" w:cs="宋体" w:asciiTheme="minorEastAsia" w:hAnsiTheme="minorEastAsia" w:eastAsiaTheme="minorEastAsia"/>
                <w:color w:val="auto"/>
                <w:kern w:val="0"/>
                <w:sz w:val="24"/>
                <w:szCs w:val="24"/>
              </w:rPr>
              <w:t>：参加本市城镇职工或城乡居民基本医疗保险，且持有第二代中华人民共和国残疾人证，未被认定为重度残疾人的本市户籍居民。因病支出型贫困常住人口，指经民政部门认定，扣除当年家庭成员个人自付医疗费用后，家庭月人均可支配收入和财产低于本市低收入标准的，在本市就业或创业、持有效居住证满1年并具有固定住所、近2年内累计缴纳社会保险费满1年且当月正常享受医疗保险待遇的非厦门户籍的外来务工人员；在本市缴纳基本医疗保险且当月正常享受医疗保险待遇的全日制普通高等院校的非厦门户籍在校学生；</w:t>
            </w:r>
          </w:p>
          <w:p>
            <w:pPr>
              <w:widowControl/>
              <w:spacing w:line="400" w:lineRule="exact"/>
              <w:jc w:val="left"/>
              <w:rPr>
                <w:rFonts w:cs="仿宋_GB2312" w:asciiTheme="minorEastAsia" w:hAnsiTheme="minorEastAsia" w:eastAsiaTheme="minorEastAsia"/>
                <w:color w:val="auto"/>
                <w:sz w:val="24"/>
                <w:szCs w:val="24"/>
              </w:rPr>
            </w:pPr>
            <w:r>
              <w:rPr>
                <w:rFonts w:hint="eastAsia" w:cs="宋体" w:asciiTheme="minorEastAsia" w:hAnsiTheme="minorEastAsia" w:eastAsiaTheme="minorEastAsia"/>
                <w:b/>
                <w:color w:val="auto"/>
                <w:kern w:val="0"/>
                <w:sz w:val="24"/>
                <w:szCs w:val="24"/>
              </w:rPr>
              <w:t>第五类</w:t>
            </w:r>
            <w:r>
              <w:rPr>
                <w:rFonts w:hint="eastAsia" w:cs="宋体" w:asciiTheme="minorEastAsia" w:hAnsiTheme="minorEastAsia" w:eastAsiaTheme="minorEastAsia"/>
                <w:color w:val="auto"/>
                <w:kern w:val="0"/>
                <w:sz w:val="24"/>
                <w:szCs w:val="24"/>
              </w:rPr>
              <w:t>：参加本市城镇职工或城乡居民基本医疗保险,用人单位已经不存在或者无法确认劳动关系，且符合条件的职业病病人；参加本市城镇职工基本医疗保险，当年度月退休金或养老金低于上年度全省职工月平均工资60%的本市户籍退休人员；参加本市城乡居民基本医疗保险、年龄在70周岁以上（含70周岁）的本市户籍满5年的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648" w:type="dxa"/>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widowControl/>
              <w:adjustRightInd w:val="0"/>
              <w:snapToGrid w:val="0"/>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备注</w:t>
            </w:r>
          </w:p>
        </w:tc>
        <w:tc>
          <w:tcPr>
            <w:tcW w:w="8740" w:type="dxa"/>
            <w:gridSpan w:val="6"/>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widowControl/>
              <w:spacing w:line="400" w:lineRule="exact"/>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1、对象管理：由民政、计生、残联等各部门认定各类救助对象。</w:t>
            </w:r>
          </w:p>
          <w:p>
            <w:pPr>
              <w:widowControl/>
              <w:spacing w:line="400" w:lineRule="exact"/>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2、结算方式：统一凭</w:t>
            </w:r>
            <w:r>
              <w:rPr>
                <w:rFonts w:hint="eastAsia" w:cs="宋体" w:asciiTheme="minorEastAsia" w:hAnsiTheme="minorEastAsia"/>
                <w:color w:val="auto"/>
                <w:kern w:val="0"/>
                <w:sz w:val="24"/>
                <w:szCs w:val="24"/>
                <w:lang w:eastAsia="zh-CN"/>
              </w:rPr>
              <w:t>医保电子凭证或</w:t>
            </w:r>
            <w:bookmarkStart w:id="0" w:name="_GoBack"/>
            <w:bookmarkEnd w:id="0"/>
            <w:r>
              <w:rPr>
                <w:rFonts w:hint="eastAsia" w:cs="宋体" w:asciiTheme="minorEastAsia" w:hAnsiTheme="minorEastAsia" w:eastAsiaTheme="minorEastAsia"/>
                <w:color w:val="auto"/>
                <w:kern w:val="0"/>
                <w:sz w:val="24"/>
                <w:szCs w:val="24"/>
              </w:rPr>
              <w:t>社会保障卡就医即时结算，资金由医保经办机构与定点医疗机构结算，医疗救助对象只需支付个人自付部分。</w:t>
            </w:r>
          </w:p>
        </w:tc>
      </w:tr>
    </w:tbl>
    <w:p>
      <w:pPr>
        <w:widowControl/>
        <w:shd w:val="clear" w:color="auto" w:fill="FFFFFF"/>
        <w:rPr>
          <w:rFonts w:cs="宋体" w:asciiTheme="minorEastAsia" w:hAnsiTheme="minorEastAsia"/>
          <w:color w:val="auto"/>
          <w:kern w:val="0"/>
          <w:szCs w:val="21"/>
        </w:rPr>
      </w:pPr>
    </w:p>
    <w:p>
      <w:pPr>
        <w:widowControl/>
        <w:shd w:val="clear" w:color="auto" w:fill="FFFFFF"/>
        <w:jc w:val="left"/>
        <w:rPr>
          <w:rFonts w:asciiTheme="minorEastAsia" w:hAnsiTheme="minorEastAsia"/>
          <w:color w:val="auto"/>
          <w:sz w:val="24"/>
          <w:szCs w:val="24"/>
        </w:rPr>
      </w:pPr>
    </w:p>
    <w:sectPr>
      <w:pgSz w:w="11906" w:h="16838"/>
      <w:pgMar w:top="567" w:right="720" w:bottom="56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DF"/>
    <w:rsid w:val="0000525B"/>
    <w:rsid w:val="00006AEC"/>
    <w:rsid w:val="00013852"/>
    <w:rsid w:val="000355F4"/>
    <w:rsid w:val="000507D0"/>
    <w:rsid w:val="00052539"/>
    <w:rsid w:val="000617A5"/>
    <w:rsid w:val="00075544"/>
    <w:rsid w:val="000830D7"/>
    <w:rsid w:val="000C6E04"/>
    <w:rsid w:val="000D1371"/>
    <w:rsid w:val="000F2965"/>
    <w:rsid w:val="001019CC"/>
    <w:rsid w:val="00120EBA"/>
    <w:rsid w:val="001219F5"/>
    <w:rsid w:val="0019147F"/>
    <w:rsid w:val="001B3FBA"/>
    <w:rsid w:val="001E73F8"/>
    <w:rsid w:val="001E7585"/>
    <w:rsid w:val="002309C4"/>
    <w:rsid w:val="00243B62"/>
    <w:rsid w:val="002504F5"/>
    <w:rsid w:val="00290E3F"/>
    <w:rsid w:val="002943A8"/>
    <w:rsid w:val="002A3946"/>
    <w:rsid w:val="002B66C2"/>
    <w:rsid w:val="002C48D7"/>
    <w:rsid w:val="002F1FF0"/>
    <w:rsid w:val="002F5312"/>
    <w:rsid w:val="00314C08"/>
    <w:rsid w:val="003158AC"/>
    <w:rsid w:val="003238CC"/>
    <w:rsid w:val="00330351"/>
    <w:rsid w:val="00344E22"/>
    <w:rsid w:val="00347665"/>
    <w:rsid w:val="00365DFE"/>
    <w:rsid w:val="0036622F"/>
    <w:rsid w:val="00376BCB"/>
    <w:rsid w:val="003A085D"/>
    <w:rsid w:val="003A2904"/>
    <w:rsid w:val="003B0ECE"/>
    <w:rsid w:val="003D5FA3"/>
    <w:rsid w:val="003E3C48"/>
    <w:rsid w:val="003F44B8"/>
    <w:rsid w:val="003F7E5C"/>
    <w:rsid w:val="004077D8"/>
    <w:rsid w:val="004128A4"/>
    <w:rsid w:val="00417539"/>
    <w:rsid w:val="004516B7"/>
    <w:rsid w:val="004632C1"/>
    <w:rsid w:val="004677B2"/>
    <w:rsid w:val="00467A24"/>
    <w:rsid w:val="0047709A"/>
    <w:rsid w:val="00486448"/>
    <w:rsid w:val="004B79F3"/>
    <w:rsid w:val="004B7D58"/>
    <w:rsid w:val="004C6A98"/>
    <w:rsid w:val="004E11BD"/>
    <w:rsid w:val="004F07DF"/>
    <w:rsid w:val="004F55C4"/>
    <w:rsid w:val="004F5EA4"/>
    <w:rsid w:val="004F6F62"/>
    <w:rsid w:val="00506BA1"/>
    <w:rsid w:val="00546388"/>
    <w:rsid w:val="00561F33"/>
    <w:rsid w:val="00567E87"/>
    <w:rsid w:val="00582B31"/>
    <w:rsid w:val="005925B4"/>
    <w:rsid w:val="005A63E0"/>
    <w:rsid w:val="005C4C5A"/>
    <w:rsid w:val="005D0997"/>
    <w:rsid w:val="005D7D8F"/>
    <w:rsid w:val="005E5A93"/>
    <w:rsid w:val="005F061D"/>
    <w:rsid w:val="005F3128"/>
    <w:rsid w:val="005F35F0"/>
    <w:rsid w:val="006037F0"/>
    <w:rsid w:val="006066BF"/>
    <w:rsid w:val="00622204"/>
    <w:rsid w:val="0063310F"/>
    <w:rsid w:val="0063745F"/>
    <w:rsid w:val="006728D9"/>
    <w:rsid w:val="006815B6"/>
    <w:rsid w:val="0068319B"/>
    <w:rsid w:val="006A7B6B"/>
    <w:rsid w:val="006C1090"/>
    <w:rsid w:val="006F04D0"/>
    <w:rsid w:val="007535C4"/>
    <w:rsid w:val="00760EDB"/>
    <w:rsid w:val="007717C5"/>
    <w:rsid w:val="007B0C45"/>
    <w:rsid w:val="007D0677"/>
    <w:rsid w:val="00804AE5"/>
    <w:rsid w:val="00813B16"/>
    <w:rsid w:val="00815325"/>
    <w:rsid w:val="008379AF"/>
    <w:rsid w:val="00840DB9"/>
    <w:rsid w:val="00856318"/>
    <w:rsid w:val="00866DDB"/>
    <w:rsid w:val="008926D7"/>
    <w:rsid w:val="008B7537"/>
    <w:rsid w:val="008C7C67"/>
    <w:rsid w:val="008D56F5"/>
    <w:rsid w:val="008F5B5B"/>
    <w:rsid w:val="0092504E"/>
    <w:rsid w:val="009320CB"/>
    <w:rsid w:val="00932D8E"/>
    <w:rsid w:val="0097511B"/>
    <w:rsid w:val="00993B1E"/>
    <w:rsid w:val="009C3ED2"/>
    <w:rsid w:val="009F1C8A"/>
    <w:rsid w:val="00A00F4C"/>
    <w:rsid w:val="00A03503"/>
    <w:rsid w:val="00A27F0C"/>
    <w:rsid w:val="00A551A1"/>
    <w:rsid w:val="00A6051D"/>
    <w:rsid w:val="00A71B9A"/>
    <w:rsid w:val="00A72AEB"/>
    <w:rsid w:val="00A764AA"/>
    <w:rsid w:val="00A90E2F"/>
    <w:rsid w:val="00AB5333"/>
    <w:rsid w:val="00AC144B"/>
    <w:rsid w:val="00AF06DC"/>
    <w:rsid w:val="00B05053"/>
    <w:rsid w:val="00B053FC"/>
    <w:rsid w:val="00B15494"/>
    <w:rsid w:val="00B30BA0"/>
    <w:rsid w:val="00B4474E"/>
    <w:rsid w:val="00B7425A"/>
    <w:rsid w:val="00B7567B"/>
    <w:rsid w:val="00B8334F"/>
    <w:rsid w:val="00BB03AB"/>
    <w:rsid w:val="00BB71D8"/>
    <w:rsid w:val="00BF2658"/>
    <w:rsid w:val="00BF2A59"/>
    <w:rsid w:val="00BF2C1C"/>
    <w:rsid w:val="00BF3481"/>
    <w:rsid w:val="00BF4C79"/>
    <w:rsid w:val="00C067B7"/>
    <w:rsid w:val="00C069A0"/>
    <w:rsid w:val="00C10224"/>
    <w:rsid w:val="00C12FF7"/>
    <w:rsid w:val="00C73A58"/>
    <w:rsid w:val="00C80501"/>
    <w:rsid w:val="00C96084"/>
    <w:rsid w:val="00CA3ABD"/>
    <w:rsid w:val="00CC2CF5"/>
    <w:rsid w:val="00CC404E"/>
    <w:rsid w:val="00CC5356"/>
    <w:rsid w:val="00CD4812"/>
    <w:rsid w:val="00CE58B4"/>
    <w:rsid w:val="00CE7901"/>
    <w:rsid w:val="00CF0B16"/>
    <w:rsid w:val="00D110DA"/>
    <w:rsid w:val="00D21EEC"/>
    <w:rsid w:val="00D34C88"/>
    <w:rsid w:val="00D360D0"/>
    <w:rsid w:val="00D44D4C"/>
    <w:rsid w:val="00D926B1"/>
    <w:rsid w:val="00D967E7"/>
    <w:rsid w:val="00DB5E37"/>
    <w:rsid w:val="00DC1A5E"/>
    <w:rsid w:val="00DC3C20"/>
    <w:rsid w:val="00DD2CD4"/>
    <w:rsid w:val="00DE3F6B"/>
    <w:rsid w:val="00DE42AC"/>
    <w:rsid w:val="00E0105C"/>
    <w:rsid w:val="00E06B5C"/>
    <w:rsid w:val="00E21806"/>
    <w:rsid w:val="00E36A8C"/>
    <w:rsid w:val="00E4596E"/>
    <w:rsid w:val="00E50DCC"/>
    <w:rsid w:val="00E545E4"/>
    <w:rsid w:val="00E6244A"/>
    <w:rsid w:val="00E6541B"/>
    <w:rsid w:val="00E673DF"/>
    <w:rsid w:val="00E957AD"/>
    <w:rsid w:val="00EB4042"/>
    <w:rsid w:val="00ED1C5C"/>
    <w:rsid w:val="00ED5607"/>
    <w:rsid w:val="00EE0861"/>
    <w:rsid w:val="00EE3E26"/>
    <w:rsid w:val="00EE624C"/>
    <w:rsid w:val="00F079EB"/>
    <w:rsid w:val="00F12005"/>
    <w:rsid w:val="00F311DD"/>
    <w:rsid w:val="00F34420"/>
    <w:rsid w:val="00F37F75"/>
    <w:rsid w:val="00F50AD7"/>
    <w:rsid w:val="00F53286"/>
    <w:rsid w:val="00F54BA5"/>
    <w:rsid w:val="00F637AB"/>
    <w:rsid w:val="00F65640"/>
    <w:rsid w:val="00F84827"/>
    <w:rsid w:val="00FB35C5"/>
    <w:rsid w:val="00FC52D1"/>
    <w:rsid w:val="00FC7143"/>
    <w:rsid w:val="00FD5A47"/>
    <w:rsid w:val="00FF627E"/>
    <w:rsid w:val="224BC971"/>
    <w:rsid w:val="7FFE4DD6"/>
    <w:rsid w:val="DE0EF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index 7"/>
    <w:basedOn w:val="1"/>
    <w:next w:val="1"/>
    <w:semiHidden/>
    <w:unhideWhenUsed/>
    <w:qFormat/>
    <w:uiPriority w:val="99"/>
    <w:pPr>
      <w:ind w:left="1200" w:leftChars="1200"/>
    </w:pPr>
  </w:style>
  <w:style w:type="paragraph" w:styleId="6">
    <w:name w:val="Normal (Web)"/>
    <w:next w:val="5"/>
    <w:semiHidden/>
    <w:unhideWhenUsed/>
    <w:qFormat/>
    <w:uiPriority w:val="0"/>
    <w:pPr>
      <w:widowControl w:val="0"/>
    </w:pPr>
    <w:rPr>
      <w:rFonts w:ascii="宋体" w:hAnsi="Times New Roman" w:eastAsia="宋体" w:cs="宋体"/>
      <w:kern w:val="2"/>
      <w:sz w:val="24"/>
      <w:szCs w:val="24"/>
      <w:lang w:val="en-US" w:eastAsia="zh-CN" w:bidi="ar-SA"/>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apple-converted-space"/>
    <w:basedOn w:val="9"/>
    <w:qFormat/>
    <w:uiPriority w:val="0"/>
  </w:style>
  <w:style w:type="paragraph" w:styleId="11">
    <w:name w:val="List Paragraph"/>
    <w:basedOn w:val="1"/>
    <w:qFormat/>
    <w:uiPriority w:val="34"/>
    <w:pPr>
      <w:ind w:firstLine="420" w:firstLineChars="200"/>
    </w:pPr>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character" w:customStyle="1" w:styleId="14">
    <w:name w:val="批注框文本 Char"/>
    <w:basedOn w:val="9"/>
    <w:link w:val="2"/>
    <w:semiHidden/>
    <w:qFormat/>
    <w:uiPriority w:val="99"/>
    <w:rPr>
      <w:sz w:val="18"/>
      <w:szCs w:val="18"/>
    </w:rPr>
  </w:style>
  <w:style w:type="table" w:customStyle="1" w:styleId="15">
    <w:name w:val="网格型1"/>
    <w:basedOn w:val="7"/>
    <w:qFormat/>
    <w:uiPriority w:val="59"/>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807</Words>
  <Characters>4602</Characters>
  <Lines>38</Lines>
  <Paragraphs>10</Paragraphs>
  <TotalTime>25</TotalTime>
  <ScaleCrop>false</ScaleCrop>
  <LinksUpToDate>false</LinksUpToDate>
  <CharactersWithSpaces>5399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2021-06-17T07:48:00Z</dcterms:created>
  <dc:creator>dell</dc:creator>
  <cp:lastModifiedBy>xmadmin</cp:lastModifiedBy>
  <cp:lastPrinted>2021-07-15T00:09:00Z</cp:lastPrinted>
  <dcterms:modified xsi:type="dcterms:W3CDTF">2021-07-16T18:05:25Z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